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adjustRightInd w:val="0"/>
        <w:spacing w:line="480" w:lineRule="auto"/>
        <w:rPr>
          <w:rFonts w:cstheme="minorBidi"/>
        </w:rPr>
      </w:pPr>
    </w:p>
    <w:p>
      <w:pPr>
        <w:jc w:val="center"/>
        <w:rPr>
          <w:b/>
          <w:bCs/>
          <w:sz w:val="32"/>
          <w:szCs w:val="32"/>
        </w:rPr>
      </w:pPr>
    </w:p>
    <w:p>
      <w:pPr>
        <w:jc w:val="center"/>
        <w:rPr>
          <w:b/>
          <w:bCs/>
          <w:sz w:val="32"/>
          <w:szCs w:val="32"/>
        </w:rPr>
      </w:pPr>
    </w:p>
    <w:p>
      <w:pPr>
        <w:jc w:val="center"/>
        <w:rPr>
          <w:b/>
          <w:bCs/>
          <w:sz w:val="32"/>
          <w:szCs w:val="32"/>
        </w:rPr>
      </w:pPr>
    </w:p>
    <w:p>
      <w:pPr>
        <w:jc w:val="center"/>
        <w:rPr>
          <w:b/>
          <w:bCs/>
          <w:sz w:val="32"/>
          <w:szCs w:val="32"/>
        </w:rPr>
      </w:pPr>
    </w:p>
    <w:p>
      <w:pPr>
        <w:jc w:val="center"/>
        <w:rPr>
          <w:b/>
          <w:bCs/>
          <w:sz w:val="32"/>
          <w:szCs w:val="32"/>
        </w:rPr>
      </w:pPr>
    </w:p>
    <w:p>
      <w:pPr>
        <w:jc w:val="center"/>
        <w:rPr>
          <w:rFonts w:ascii="宋体" w:hAnsi="宋体"/>
          <w:b/>
          <w:bCs/>
          <w:sz w:val="52"/>
        </w:rPr>
      </w:pPr>
    </w:p>
    <w:p>
      <w:pPr>
        <w:tabs>
          <w:tab w:val="left" w:pos="720"/>
        </w:tabs>
        <w:spacing w:line="360" w:lineRule="auto"/>
        <w:jc w:val="center"/>
        <w:rPr>
          <w:rFonts w:ascii="黑体" w:hAnsi="黑体" w:eastAsia="黑体"/>
          <w:sz w:val="52"/>
        </w:rPr>
      </w:pPr>
      <w:r>
        <w:rPr>
          <w:rFonts w:hint="eastAsia" w:ascii="黑体" w:hAnsi="黑体" w:eastAsia="黑体"/>
          <w:sz w:val="52"/>
          <w:lang w:eastAsia="zh-CN"/>
        </w:rPr>
        <w:t>国贸地产广州公司</w:t>
      </w:r>
      <w:r>
        <w:rPr>
          <w:rFonts w:hint="eastAsia" w:ascii="黑体" w:hAnsi="黑体" w:eastAsia="黑体"/>
          <w:sz w:val="52"/>
        </w:rPr>
        <w:t>机电工程</w:t>
      </w:r>
    </w:p>
    <w:p>
      <w:pPr>
        <w:tabs>
          <w:tab w:val="left" w:pos="720"/>
        </w:tabs>
        <w:spacing w:line="360" w:lineRule="auto"/>
        <w:jc w:val="center"/>
        <w:rPr>
          <w:rFonts w:ascii="黑体" w:hAnsi="黑体" w:eastAsia="黑体" w:cs="宋体"/>
          <w:bCs/>
          <w:sz w:val="52"/>
          <w:szCs w:val="52"/>
        </w:rPr>
      </w:pPr>
      <w:r>
        <w:rPr>
          <w:rFonts w:hint="eastAsia" w:ascii="黑体" w:hAnsi="黑体" w:eastAsia="黑体" w:cs="宋体"/>
          <w:bCs/>
          <w:sz w:val="52"/>
          <w:szCs w:val="52"/>
        </w:rPr>
        <w:t>成品保护</w:t>
      </w:r>
      <w:bookmarkStart w:id="18" w:name="_GoBack"/>
      <w:r>
        <w:rPr>
          <w:rFonts w:hint="eastAsia" w:ascii="黑体" w:hAnsi="黑体" w:eastAsia="黑体" w:cs="宋体"/>
          <w:bCs/>
          <w:sz w:val="52"/>
          <w:szCs w:val="52"/>
        </w:rPr>
        <w:t>技术要求</w:t>
      </w:r>
      <w:bookmarkEnd w:id="18"/>
    </w:p>
    <w:p>
      <w:pPr>
        <w:jc w:val="center"/>
        <w:rPr>
          <w:b/>
          <w:bCs/>
          <w:sz w:val="32"/>
          <w:szCs w:val="32"/>
        </w:rPr>
      </w:pPr>
    </w:p>
    <w:p>
      <w:pPr>
        <w:rPr>
          <w:b/>
          <w:bCs/>
          <w:sz w:val="32"/>
          <w:szCs w:val="32"/>
        </w:rPr>
      </w:pPr>
    </w:p>
    <w:p>
      <w:pPr>
        <w:pStyle w:val="2"/>
        <w:pageBreakBefore/>
        <w:numPr>
          <w:ilvl w:val="0"/>
          <w:numId w:val="1"/>
        </w:numPr>
        <w:spacing w:before="0" w:after="0" w:line="360" w:lineRule="auto"/>
        <w:ind w:left="487" w:hanging="487" w:hangingChars="202"/>
        <w:rPr>
          <w:rFonts w:ascii="黑体" w:hAnsi="黑体" w:eastAsia="黑体"/>
          <w:sz w:val="24"/>
          <w:szCs w:val="24"/>
        </w:rPr>
      </w:pPr>
      <w:bookmarkStart w:id="0" w:name="_Toc36223783"/>
      <w:r>
        <w:rPr>
          <w:rFonts w:hint="eastAsia" w:ascii="黑体" w:hAnsi="黑体" w:eastAsia="黑体"/>
          <w:sz w:val="24"/>
          <w:szCs w:val="24"/>
        </w:rPr>
        <w:t>编制目的</w:t>
      </w:r>
      <w:bookmarkEnd w:id="0"/>
    </w:p>
    <w:p>
      <w:pPr>
        <w:spacing w:line="360" w:lineRule="auto"/>
        <w:ind w:firstLine="480" w:firstLineChars="200"/>
        <w:rPr>
          <w:rFonts w:ascii="宋体" w:hAnsi="宋体"/>
          <w:sz w:val="24"/>
        </w:rPr>
      </w:pPr>
      <w:r>
        <w:rPr>
          <w:rFonts w:hint="eastAsia" w:ascii="宋体" w:hAnsi="宋体"/>
          <w:sz w:val="24"/>
        </w:rPr>
        <w:t>为提高</w:t>
      </w:r>
      <w:r>
        <w:rPr>
          <w:rFonts w:hint="eastAsia" w:ascii="宋体" w:hAnsi="宋体"/>
          <w:sz w:val="24"/>
          <w:lang w:eastAsia="zh-CN"/>
        </w:rPr>
        <w:t>国贸地产广州公司</w:t>
      </w:r>
      <w:r>
        <w:rPr>
          <w:rFonts w:hint="eastAsia" w:ascii="宋体" w:hAnsi="宋体"/>
          <w:sz w:val="24"/>
        </w:rPr>
        <w:t>机电工程成品保护管理的规范化、标准化、制度化，减少施工过程中对机电工程成品、半成品、工序产品以及已完成的分部分项工程产品的破坏，从而节约成本、缩减工期。项目管理中心特编制《</w:t>
      </w:r>
      <w:r>
        <w:rPr>
          <w:rFonts w:hint="eastAsia" w:ascii="宋体" w:hAnsi="宋体"/>
          <w:sz w:val="24"/>
          <w:lang w:eastAsia="zh-CN"/>
        </w:rPr>
        <w:t>国贸地产广州公司</w:t>
      </w:r>
      <w:r>
        <w:rPr>
          <w:rFonts w:hint="eastAsia" w:ascii="宋体" w:hAnsi="宋体"/>
          <w:sz w:val="24"/>
        </w:rPr>
        <w:t>机电工程成品保护要求》（以下简称“本指引”），请各项目参照执行。</w:t>
      </w:r>
    </w:p>
    <w:p>
      <w:pPr>
        <w:pStyle w:val="2"/>
        <w:numPr>
          <w:ilvl w:val="0"/>
          <w:numId w:val="1"/>
        </w:numPr>
        <w:spacing w:before="0" w:after="0" w:line="360" w:lineRule="auto"/>
        <w:rPr>
          <w:rFonts w:ascii="黑体" w:hAnsi="黑体" w:eastAsia="黑体"/>
          <w:sz w:val="24"/>
          <w:szCs w:val="24"/>
        </w:rPr>
      </w:pPr>
      <w:bookmarkStart w:id="1" w:name="_Toc36223784"/>
      <w:r>
        <w:rPr>
          <w:rFonts w:hint="eastAsia" w:ascii="黑体" w:hAnsi="黑体" w:eastAsia="黑体"/>
          <w:sz w:val="24"/>
          <w:szCs w:val="24"/>
        </w:rPr>
        <w:t>适用范围</w:t>
      </w:r>
      <w:bookmarkEnd w:id="1"/>
    </w:p>
    <w:p>
      <w:pPr>
        <w:spacing w:line="360" w:lineRule="auto"/>
        <w:ind w:firstLine="482"/>
        <w:rPr>
          <w:rFonts w:ascii="宋体"/>
          <w:sz w:val="24"/>
        </w:rPr>
      </w:pPr>
      <w:r>
        <w:rPr>
          <w:rFonts w:hint="eastAsia" w:ascii="宋体"/>
          <w:sz w:val="24"/>
        </w:rPr>
        <w:t>本办法适用于</w:t>
      </w:r>
      <w:r>
        <w:rPr>
          <w:rFonts w:hint="eastAsia" w:ascii="宋体"/>
          <w:sz w:val="24"/>
          <w:lang w:eastAsia="zh-CN"/>
        </w:rPr>
        <w:t>国贸地产广州公司</w:t>
      </w:r>
      <w:r>
        <w:rPr>
          <w:rFonts w:hint="eastAsia" w:ascii="宋体"/>
          <w:sz w:val="24"/>
        </w:rPr>
        <w:t>所有在建项目，包括自有项目和收并购项目。</w:t>
      </w:r>
    </w:p>
    <w:p>
      <w:pPr>
        <w:pStyle w:val="2"/>
        <w:numPr>
          <w:ilvl w:val="0"/>
          <w:numId w:val="1"/>
        </w:numPr>
        <w:spacing w:before="0" w:after="0" w:line="360" w:lineRule="auto"/>
        <w:rPr>
          <w:rFonts w:ascii="黑体" w:hAnsi="黑体" w:eastAsia="黑体"/>
          <w:sz w:val="24"/>
          <w:szCs w:val="24"/>
        </w:rPr>
      </w:pPr>
      <w:bookmarkStart w:id="2" w:name="_Toc36223785"/>
      <w:r>
        <w:rPr>
          <w:rFonts w:hint="eastAsia" w:ascii="黑体" w:hAnsi="黑体" w:eastAsia="黑体"/>
          <w:sz w:val="24"/>
          <w:szCs w:val="24"/>
        </w:rPr>
        <w:t>成品保护原则</w:t>
      </w:r>
      <w:bookmarkEnd w:id="2"/>
    </w:p>
    <w:p>
      <w:pPr>
        <w:pStyle w:val="8"/>
        <w:numPr>
          <w:ilvl w:val="1"/>
          <w:numId w:val="1"/>
        </w:numPr>
        <w:spacing w:line="360" w:lineRule="auto"/>
        <w:ind w:left="0" w:firstLine="0" w:firstLineChars="0"/>
        <w:outlineLvl w:val="1"/>
        <w:rPr>
          <w:rFonts w:ascii="宋体" w:hAnsi="宋体"/>
          <w:sz w:val="24"/>
        </w:rPr>
      </w:pPr>
      <w:bookmarkStart w:id="3" w:name="_Toc36223786"/>
      <w:r>
        <w:rPr>
          <w:rFonts w:hint="eastAsia" w:ascii="宋体" w:hAnsi="宋体"/>
          <w:sz w:val="24"/>
        </w:rPr>
        <w:t>谁施工谁保护、谁接收谁保护</w:t>
      </w:r>
      <w:bookmarkEnd w:id="3"/>
    </w:p>
    <w:p>
      <w:pPr>
        <w:spacing w:line="360" w:lineRule="auto"/>
        <w:ind w:firstLine="480" w:firstLineChars="200"/>
        <w:rPr>
          <w:rFonts w:ascii="宋体" w:hAnsi="宋体"/>
          <w:sz w:val="24"/>
        </w:rPr>
      </w:pPr>
      <w:r>
        <w:rPr>
          <w:rFonts w:hint="eastAsia" w:ascii="宋体" w:hAnsi="宋体"/>
          <w:sz w:val="24"/>
        </w:rPr>
        <w:t>各机电分包单位应根据不同的施工阶段、工艺特点、现场条件及管理要求采取针对性成品保护措施，前一工序施工方应负责采取保护措施保障本工序产品移交后不受后一工序正常施工破坏，后一工序施工方接收后应负责采取措施保障施工时前一工序成品不受破坏。</w:t>
      </w:r>
    </w:p>
    <w:p>
      <w:pPr>
        <w:spacing w:line="360" w:lineRule="auto"/>
        <w:ind w:firstLine="480" w:firstLineChars="200"/>
        <w:rPr>
          <w:rFonts w:ascii="宋体" w:hAnsi="宋体"/>
          <w:sz w:val="24"/>
        </w:rPr>
      </w:pPr>
      <w:r>
        <w:rPr>
          <w:rFonts w:hint="eastAsia" w:ascii="宋体" w:hAnsi="宋体"/>
          <w:sz w:val="24"/>
        </w:rPr>
        <w:t>各机电分包单位应做好本施工范围内机电工程施工工艺顺序的协调工作，预见工艺顺序对工程成品保护影响，落实保护措施，防止因工艺顺序引起成品保护损坏，对因工艺顺序不可避免引起的成品损坏修复费用，应在报价中充分考虑，若有损坏需由责任单位自行修复。</w:t>
      </w:r>
    </w:p>
    <w:p>
      <w:pPr>
        <w:spacing w:line="360" w:lineRule="auto"/>
        <w:ind w:firstLine="480" w:firstLineChars="200"/>
        <w:rPr>
          <w:rFonts w:ascii="宋体" w:hAnsi="宋体"/>
          <w:sz w:val="24"/>
        </w:rPr>
      </w:pPr>
      <w:r>
        <w:rPr>
          <w:rFonts w:hint="eastAsia" w:ascii="宋体" w:hAnsi="宋体"/>
          <w:sz w:val="24"/>
        </w:rPr>
        <w:t>各工序间交接时，必须进行交接验收，交接验收应包括检查成品保护措施是否落实。工程成品施工方必须保证在交接和验收时，其产品移交时的质量和数量、防护措施符合设计、规范、合同及本指引的要求。</w:t>
      </w:r>
    </w:p>
    <w:p>
      <w:pPr>
        <w:pStyle w:val="8"/>
        <w:numPr>
          <w:ilvl w:val="1"/>
          <w:numId w:val="1"/>
        </w:numPr>
        <w:spacing w:line="360" w:lineRule="auto"/>
        <w:ind w:left="0" w:firstLine="0" w:firstLineChars="0"/>
        <w:outlineLvl w:val="1"/>
        <w:rPr>
          <w:rFonts w:ascii="宋体" w:hAnsi="宋体"/>
          <w:sz w:val="24"/>
        </w:rPr>
      </w:pPr>
      <w:bookmarkStart w:id="4" w:name="_Toc36223787"/>
      <w:r>
        <w:rPr>
          <w:rFonts w:hint="eastAsia" w:ascii="宋体" w:hAnsi="宋体"/>
          <w:sz w:val="24"/>
        </w:rPr>
        <w:t>样板先行</w:t>
      </w:r>
      <w:bookmarkEnd w:id="4"/>
    </w:p>
    <w:p>
      <w:pPr>
        <w:spacing w:line="360" w:lineRule="auto"/>
        <w:ind w:firstLine="480" w:firstLineChars="200"/>
        <w:rPr>
          <w:rFonts w:ascii="宋体" w:hAnsi="宋体"/>
          <w:sz w:val="24"/>
        </w:rPr>
      </w:pPr>
      <w:r>
        <w:rPr>
          <w:rFonts w:hint="eastAsia" w:ascii="宋体" w:hAnsi="宋体"/>
          <w:sz w:val="24"/>
        </w:rPr>
        <w:t>总包及各机电分包单位进场施工后，应针对机电各分部分项工程成品、半成品制定专门的成品保护样板。项目部应根据本项目实际情况，针对保护措施、保护材料、保护周期、交接承验方式等做专项评审。评审通过后，要求所有机电分包单位必须严格按样板要求执行。</w:t>
      </w:r>
    </w:p>
    <w:p>
      <w:pPr>
        <w:pStyle w:val="8"/>
        <w:numPr>
          <w:ilvl w:val="1"/>
          <w:numId w:val="1"/>
        </w:numPr>
        <w:spacing w:line="360" w:lineRule="auto"/>
        <w:ind w:left="0" w:firstLine="0" w:firstLineChars="0"/>
        <w:outlineLvl w:val="1"/>
        <w:rPr>
          <w:rFonts w:ascii="宋体" w:hAnsi="宋体"/>
          <w:sz w:val="24"/>
        </w:rPr>
      </w:pPr>
      <w:bookmarkStart w:id="5" w:name="_Toc36223788"/>
      <w:r>
        <w:rPr>
          <w:rFonts w:hint="eastAsia" w:ascii="宋体" w:hAnsi="宋体"/>
          <w:sz w:val="24"/>
        </w:rPr>
        <w:t>书面与现场并举</w:t>
      </w:r>
      <w:bookmarkEnd w:id="5"/>
    </w:p>
    <w:p>
      <w:pPr>
        <w:spacing w:line="360" w:lineRule="auto"/>
        <w:ind w:firstLine="480" w:firstLineChars="200"/>
        <w:rPr>
          <w:rFonts w:ascii="宋体" w:hAnsi="宋体"/>
          <w:sz w:val="24"/>
        </w:rPr>
      </w:pPr>
      <w:r>
        <w:rPr>
          <w:rFonts w:hint="eastAsia" w:ascii="宋体" w:hAnsi="宋体"/>
          <w:sz w:val="24"/>
        </w:rPr>
        <w:t>总包及各机电分包单位在完成成品保护后向下一道工序负责的单位移交现场时，必须有书面确认的现场移交记录，记录内容清晰描述移交范围及移交内容。</w:t>
      </w:r>
    </w:p>
    <w:p>
      <w:pPr>
        <w:pStyle w:val="8"/>
        <w:numPr>
          <w:ilvl w:val="1"/>
          <w:numId w:val="1"/>
        </w:numPr>
        <w:spacing w:line="360" w:lineRule="auto"/>
        <w:ind w:left="0" w:firstLine="0" w:firstLineChars="0"/>
        <w:outlineLvl w:val="1"/>
        <w:rPr>
          <w:rFonts w:ascii="宋体" w:hAnsi="宋体"/>
          <w:sz w:val="24"/>
        </w:rPr>
      </w:pPr>
      <w:bookmarkStart w:id="6" w:name="_Toc36223789"/>
      <w:r>
        <w:rPr>
          <w:rFonts w:hint="eastAsia" w:ascii="宋体" w:hAnsi="宋体"/>
          <w:sz w:val="24"/>
        </w:rPr>
        <w:t>先检查后保护</w:t>
      </w:r>
      <w:bookmarkEnd w:id="6"/>
    </w:p>
    <w:p>
      <w:pPr>
        <w:spacing w:line="360" w:lineRule="auto"/>
        <w:ind w:firstLine="480" w:firstLineChars="200"/>
        <w:rPr>
          <w:rFonts w:ascii="宋体" w:hAnsi="宋体"/>
          <w:sz w:val="24"/>
        </w:rPr>
      </w:pPr>
      <w:r>
        <w:rPr>
          <w:rFonts w:hint="eastAsia" w:ascii="宋体" w:hAnsi="宋体"/>
          <w:sz w:val="24"/>
        </w:rPr>
        <w:t>所有工序必须经施工单位自检、监理验收、项目部专业工程师抽检合格，并做好产品清洁后方可进行保护。</w:t>
      </w:r>
    </w:p>
    <w:p>
      <w:pPr>
        <w:pStyle w:val="8"/>
        <w:numPr>
          <w:ilvl w:val="1"/>
          <w:numId w:val="1"/>
        </w:numPr>
        <w:spacing w:line="360" w:lineRule="auto"/>
        <w:ind w:left="0" w:firstLine="0" w:firstLineChars="0"/>
        <w:outlineLvl w:val="1"/>
        <w:rPr>
          <w:rFonts w:ascii="宋体" w:hAnsi="宋体"/>
          <w:sz w:val="24"/>
        </w:rPr>
      </w:pPr>
      <w:bookmarkStart w:id="7" w:name="_Toc36223790"/>
      <w:r>
        <w:rPr>
          <w:rFonts w:hint="eastAsia" w:ascii="宋体" w:hAnsi="宋体"/>
          <w:sz w:val="24"/>
        </w:rPr>
        <w:t>及时保护</w:t>
      </w:r>
      <w:bookmarkEnd w:id="7"/>
    </w:p>
    <w:p>
      <w:pPr>
        <w:spacing w:line="360" w:lineRule="auto"/>
        <w:ind w:firstLine="480" w:firstLineChars="200"/>
        <w:rPr>
          <w:rFonts w:ascii="宋体" w:hAnsi="宋体"/>
          <w:sz w:val="24"/>
        </w:rPr>
      </w:pPr>
      <w:r>
        <w:rPr>
          <w:rFonts w:hint="eastAsia" w:ascii="宋体" w:hAnsi="宋体"/>
          <w:sz w:val="24"/>
        </w:rPr>
        <w:t>施工过程中的成品保护不仅要做到规范合理更要做到快速及时。机电工程的成品或半成品在安装完成后2天内应完成相应的保护工作，项目部应及时巡查。</w:t>
      </w:r>
    </w:p>
    <w:p>
      <w:pPr>
        <w:pStyle w:val="8"/>
        <w:numPr>
          <w:ilvl w:val="1"/>
          <w:numId w:val="1"/>
        </w:numPr>
        <w:spacing w:line="360" w:lineRule="auto"/>
        <w:ind w:left="0" w:firstLine="0" w:firstLineChars="0"/>
        <w:outlineLvl w:val="1"/>
        <w:rPr>
          <w:rFonts w:ascii="宋体" w:hAnsi="宋体"/>
          <w:sz w:val="24"/>
        </w:rPr>
      </w:pPr>
      <w:bookmarkStart w:id="8" w:name="_Toc36223791"/>
      <w:r>
        <w:rPr>
          <w:rFonts w:hint="eastAsia" w:ascii="宋体" w:hAnsi="宋体"/>
          <w:sz w:val="24"/>
        </w:rPr>
        <w:t>持续保护</w:t>
      </w:r>
      <w:bookmarkEnd w:id="8"/>
    </w:p>
    <w:p>
      <w:pPr>
        <w:spacing w:line="360" w:lineRule="auto"/>
        <w:ind w:firstLine="480" w:firstLineChars="200"/>
        <w:rPr>
          <w:rFonts w:ascii="宋体" w:hAnsi="宋体"/>
          <w:sz w:val="24"/>
        </w:rPr>
      </w:pPr>
      <w:r>
        <w:rPr>
          <w:rFonts w:hint="eastAsia" w:ascii="宋体" w:hAnsi="宋体"/>
          <w:sz w:val="24"/>
        </w:rPr>
        <w:t>对于成品保护措施被损坏、拆除的，必须在恢复保护措施后方可进行施工</w:t>
      </w:r>
    </w:p>
    <w:p>
      <w:pPr>
        <w:pStyle w:val="8"/>
        <w:numPr>
          <w:ilvl w:val="1"/>
          <w:numId w:val="1"/>
        </w:numPr>
        <w:spacing w:line="360" w:lineRule="auto"/>
        <w:ind w:left="0" w:firstLine="0" w:firstLineChars="0"/>
        <w:outlineLvl w:val="1"/>
        <w:rPr>
          <w:rFonts w:ascii="宋体" w:hAnsi="宋体"/>
          <w:sz w:val="24"/>
        </w:rPr>
      </w:pPr>
      <w:bookmarkStart w:id="9" w:name="_Toc36223792"/>
      <w:r>
        <w:rPr>
          <w:rFonts w:hint="eastAsia" w:ascii="宋体" w:hAnsi="宋体"/>
          <w:sz w:val="24"/>
        </w:rPr>
        <w:t>运输保护</w:t>
      </w:r>
      <w:bookmarkEnd w:id="9"/>
    </w:p>
    <w:p>
      <w:pPr>
        <w:spacing w:line="360" w:lineRule="auto"/>
        <w:ind w:firstLine="480" w:firstLineChars="200"/>
        <w:rPr>
          <w:rFonts w:ascii="宋体" w:hAnsi="宋体"/>
          <w:sz w:val="24"/>
        </w:rPr>
      </w:pPr>
      <w:r>
        <w:rPr>
          <w:rFonts w:hint="eastAsia" w:ascii="宋体" w:hAnsi="宋体"/>
          <w:sz w:val="24"/>
        </w:rPr>
        <w:t>材料运输使用电梯时，应对电梯采取保护措施。</w:t>
      </w:r>
    </w:p>
    <w:p>
      <w:pPr>
        <w:spacing w:line="360" w:lineRule="auto"/>
        <w:ind w:firstLine="480" w:firstLineChars="200"/>
        <w:rPr>
          <w:rFonts w:ascii="宋体" w:hAnsi="宋体"/>
          <w:sz w:val="24"/>
        </w:rPr>
      </w:pPr>
      <w:r>
        <w:rPr>
          <w:rFonts w:hint="eastAsia" w:ascii="宋体" w:hAnsi="宋体"/>
          <w:sz w:val="24"/>
        </w:rPr>
        <w:t>材料搬运时要避免损坏楼道内顶、墙、扶手、楼道窗户及楼道门。</w:t>
      </w:r>
    </w:p>
    <w:p>
      <w:pPr>
        <w:pStyle w:val="8"/>
        <w:numPr>
          <w:ilvl w:val="1"/>
          <w:numId w:val="1"/>
        </w:numPr>
        <w:spacing w:line="360" w:lineRule="auto"/>
        <w:ind w:left="0" w:firstLine="0" w:firstLineChars="0"/>
        <w:outlineLvl w:val="1"/>
        <w:rPr>
          <w:rFonts w:ascii="宋体" w:hAnsi="宋体"/>
          <w:sz w:val="24"/>
        </w:rPr>
      </w:pPr>
      <w:bookmarkStart w:id="10" w:name="_Toc36223793"/>
      <w:r>
        <w:rPr>
          <w:rFonts w:hint="eastAsia" w:ascii="宋体" w:hAnsi="宋体"/>
          <w:sz w:val="24"/>
        </w:rPr>
        <w:t>保护计划与日常巡逻</w:t>
      </w:r>
      <w:bookmarkEnd w:id="10"/>
    </w:p>
    <w:p>
      <w:pPr>
        <w:spacing w:line="360" w:lineRule="auto"/>
        <w:ind w:firstLine="480" w:firstLineChars="200"/>
        <w:rPr>
          <w:rFonts w:ascii="宋体" w:hAnsi="宋体"/>
          <w:sz w:val="24"/>
        </w:rPr>
      </w:pPr>
      <w:r>
        <w:rPr>
          <w:rFonts w:hint="eastAsia" w:ascii="宋体" w:hAnsi="宋体"/>
          <w:sz w:val="24"/>
        </w:rPr>
        <w:t>项目工程部应在施工单位进场前制定有效的成品保护计划、保护措施，其中至少应包括成品保护方案、范围、时间、成品保护巡查频次、交接承验计划、相关责任人。在施工单位进场后及时组织交底工作。</w:t>
      </w:r>
    </w:p>
    <w:p>
      <w:pPr>
        <w:spacing w:line="360" w:lineRule="auto"/>
        <w:ind w:firstLine="480" w:firstLineChars="200"/>
        <w:rPr>
          <w:rFonts w:ascii="宋体" w:hAnsi="宋体"/>
          <w:sz w:val="24"/>
        </w:rPr>
      </w:pPr>
      <w:r>
        <w:rPr>
          <w:rFonts w:hint="eastAsia" w:ascii="宋体" w:hAnsi="宋体"/>
          <w:sz w:val="24"/>
        </w:rPr>
        <w:t>项目工程部管理人员应组织不少于每周一次的频率巡视成品保护情况，如发现保护缺失、破损则及时责令相关单位进行修复。</w:t>
      </w:r>
    </w:p>
    <w:p>
      <w:pPr>
        <w:pStyle w:val="2"/>
        <w:numPr>
          <w:ilvl w:val="0"/>
          <w:numId w:val="1"/>
        </w:numPr>
        <w:spacing w:before="0" w:after="0" w:line="360" w:lineRule="auto"/>
        <w:rPr>
          <w:rFonts w:ascii="黑体" w:hAnsi="黑体" w:eastAsia="黑体"/>
          <w:sz w:val="24"/>
          <w:szCs w:val="24"/>
        </w:rPr>
      </w:pPr>
      <w:bookmarkStart w:id="11" w:name="_Toc36223794"/>
      <w:r>
        <w:rPr>
          <w:rFonts w:hint="eastAsia" w:ascii="黑体" w:hAnsi="黑体" w:eastAsia="黑体"/>
          <w:sz w:val="24"/>
          <w:szCs w:val="24"/>
        </w:rPr>
        <w:t>成品保护措施与做法图示</w:t>
      </w:r>
      <w:bookmarkEnd w:id="11"/>
    </w:p>
    <w:p>
      <w:pPr>
        <w:pStyle w:val="8"/>
        <w:numPr>
          <w:ilvl w:val="1"/>
          <w:numId w:val="1"/>
        </w:numPr>
        <w:spacing w:line="360" w:lineRule="auto"/>
        <w:ind w:left="0" w:firstLine="0" w:firstLineChars="0"/>
        <w:outlineLvl w:val="1"/>
        <w:rPr>
          <w:rFonts w:ascii="宋体" w:hAnsi="宋体"/>
          <w:sz w:val="24"/>
        </w:rPr>
      </w:pPr>
      <w:bookmarkStart w:id="12" w:name="_Toc36223795"/>
      <w:bookmarkStart w:id="13" w:name="_Toc388374816"/>
      <w:bookmarkStart w:id="14" w:name="_Toc387136969"/>
      <w:bookmarkStart w:id="15" w:name="_Toc383447338"/>
      <w:r>
        <w:rPr>
          <w:rFonts w:hint="eastAsia" w:ascii="宋体" w:hAnsi="宋体"/>
          <w:sz w:val="24"/>
        </w:rPr>
        <w:t>电气工程</w:t>
      </w:r>
      <w:bookmarkEnd w:id="12"/>
    </w:p>
    <w:tbl>
      <w:tblPr>
        <w:tblStyle w:val="6"/>
        <w:tblW w:w="530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21"/>
        <w:gridCol w:w="4645"/>
        <w:gridCol w:w="47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restart"/>
            <w:shd w:val="clear" w:color="auto" w:fill="auto"/>
            <w:textDirection w:val="tbRlV"/>
            <w:vAlign w:val="center"/>
          </w:tcPr>
          <w:p>
            <w:pPr>
              <w:ind w:left="113" w:right="113"/>
              <w:jc w:val="center"/>
              <w:rPr>
                <w:rFonts w:ascii="宋体" w:hAnsi="宋体" w:cs="宋体"/>
                <w:b/>
                <w:sz w:val="28"/>
                <w:szCs w:val="28"/>
              </w:rPr>
            </w:pPr>
            <w:r>
              <w:rPr>
                <w:rFonts w:hint="eastAsia"/>
                <w:b/>
                <w:sz w:val="28"/>
                <w:szCs w:val="28"/>
              </w:rPr>
              <w:t>保护措施</w:t>
            </w:r>
          </w:p>
        </w:tc>
        <w:tc>
          <w:tcPr>
            <w:tcW w:w="4645" w:type="pct"/>
            <w:gridSpan w:val="2"/>
            <w:shd w:val="clear" w:color="auto" w:fill="auto"/>
          </w:tcPr>
          <w:p>
            <w:pPr>
              <w:spacing w:line="324" w:lineRule="auto"/>
              <w:rPr>
                <w:rFonts w:ascii="宋体" w:hAnsi="宋体" w:cs="宋体"/>
                <w:sz w:val="24"/>
              </w:rPr>
            </w:pPr>
            <w:r>
              <w:rPr>
                <w:rFonts w:ascii="宋体" w:hAnsi="宋体" w:cs="宋体"/>
                <w:sz w:val="24"/>
              </w:rPr>
              <w:t>暗敷电管</w:t>
            </w:r>
            <w:r>
              <w:rPr>
                <w:rFonts w:ascii="宋体" w:hAnsi="宋体" w:cs="宋体"/>
                <w:spacing w:val="-5"/>
                <w:sz w:val="24"/>
              </w:rPr>
              <w:t>剔</w:t>
            </w:r>
            <w:r>
              <w:rPr>
                <w:rFonts w:ascii="宋体" w:hAnsi="宋体" w:cs="宋体"/>
                <w:sz w:val="24"/>
              </w:rPr>
              <w:t>槽打洞</w:t>
            </w:r>
            <w:r>
              <w:rPr>
                <w:rFonts w:ascii="宋体" w:hAnsi="宋体" w:cs="宋体"/>
                <w:spacing w:val="-5"/>
                <w:sz w:val="24"/>
              </w:rPr>
              <w:t>时</w:t>
            </w:r>
            <w:r>
              <w:rPr>
                <w:rFonts w:ascii="宋体" w:hAnsi="宋体" w:cs="宋体"/>
                <w:sz w:val="24"/>
              </w:rPr>
              <w:t>，不要</w:t>
            </w:r>
            <w:r>
              <w:rPr>
                <w:rFonts w:ascii="宋体" w:hAnsi="宋体" w:cs="宋体"/>
                <w:spacing w:val="-5"/>
                <w:sz w:val="24"/>
              </w:rPr>
              <w:t>用</w:t>
            </w:r>
            <w:r>
              <w:rPr>
                <w:rFonts w:ascii="宋体" w:hAnsi="宋体" w:cs="宋体"/>
                <w:sz w:val="24"/>
              </w:rPr>
              <w:t>力过猛</w:t>
            </w:r>
            <w:r>
              <w:rPr>
                <w:rFonts w:ascii="宋体" w:hAnsi="宋体" w:cs="宋体"/>
                <w:spacing w:val="-5"/>
                <w:sz w:val="24"/>
              </w:rPr>
              <w:t>，</w:t>
            </w:r>
            <w:r>
              <w:rPr>
                <w:rFonts w:ascii="宋体" w:hAnsi="宋体" w:cs="宋体"/>
                <w:sz w:val="24"/>
              </w:rPr>
              <w:t>以免造</w:t>
            </w:r>
            <w:r>
              <w:rPr>
                <w:rFonts w:ascii="宋体" w:hAnsi="宋体" w:cs="宋体"/>
                <w:spacing w:val="-5"/>
                <w:sz w:val="24"/>
              </w:rPr>
              <w:t>成</w:t>
            </w:r>
            <w:r>
              <w:rPr>
                <w:rFonts w:ascii="宋体" w:hAnsi="宋体" w:cs="宋体"/>
                <w:sz w:val="24"/>
              </w:rPr>
              <w:t>墙</w:t>
            </w:r>
            <w:r>
              <w:rPr>
                <w:rFonts w:ascii="宋体" w:hAnsi="宋体" w:cs="宋体"/>
                <w:spacing w:val="-5"/>
                <w:sz w:val="24"/>
              </w:rPr>
              <w:t>面</w:t>
            </w:r>
            <w:r>
              <w:rPr>
                <w:rFonts w:ascii="宋体" w:hAnsi="宋体" w:cs="宋体"/>
                <w:sz w:val="24"/>
              </w:rPr>
              <w:t>周围破碎。洞</w:t>
            </w:r>
            <w:r>
              <w:rPr>
                <w:rFonts w:ascii="宋体" w:hAnsi="宋体" w:cs="宋体"/>
                <w:spacing w:val="-5"/>
                <w:sz w:val="24"/>
              </w:rPr>
              <w:t>口</w:t>
            </w:r>
            <w:r>
              <w:rPr>
                <w:rFonts w:ascii="宋体" w:hAnsi="宋体" w:cs="宋体"/>
                <w:sz w:val="24"/>
              </w:rPr>
              <w:t>不宜剔</w:t>
            </w:r>
            <w:r>
              <w:rPr>
                <w:rFonts w:ascii="宋体" w:hAnsi="宋体" w:cs="宋体"/>
                <w:spacing w:val="-5"/>
                <w:sz w:val="24"/>
              </w:rPr>
              <w:t>得</w:t>
            </w:r>
            <w:r>
              <w:rPr>
                <w:rFonts w:ascii="宋体" w:hAnsi="宋体" w:cs="宋体"/>
                <w:sz w:val="24"/>
              </w:rPr>
              <w:t>过大、</w:t>
            </w:r>
            <w:r>
              <w:rPr>
                <w:rFonts w:ascii="宋体" w:hAnsi="宋体" w:cs="宋体"/>
                <w:spacing w:val="-5"/>
                <w:sz w:val="24"/>
              </w:rPr>
              <w:t>过</w:t>
            </w:r>
            <w:r>
              <w:rPr>
                <w:rFonts w:ascii="宋体" w:hAnsi="宋体" w:cs="宋体"/>
                <w:sz w:val="24"/>
              </w:rPr>
              <w:t>宽，不</w:t>
            </w:r>
            <w:r>
              <w:rPr>
                <w:rFonts w:ascii="宋体" w:hAnsi="宋体" w:cs="宋体"/>
                <w:spacing w:val="-5"/>
                <w:sz w:val="24"/>
              </w:rPr>
              <w:t>要</w:t>
            </w:r>
            <w:r>
              <w:rPr>
                <w:rFonts w:ascii="宋体" w:hAnsi="宋体" w:cs="宋体"/>
                <w:sz w:val="24"/>
              </w:rPr>
              <w:t>造成土</w:t>
            </w:r>
            <w:r>
              <w:rPr>
                <w:rFonts w:ascii="宋体" w:hAnsi="宋体" w:cs="宋体"/>
                <w:spacing w:val="-5"/>
                <w:sz w:val="24"/>
              </w:rPr>
              <w:t>建</w:t>
            </w:r>
            <w:r>
              <w:rPr>
                <w:rFonts w:ascii="宋体" w:hAnsi="宋体" w:cs="宋体"/>
                <w:sz w:val="24"/>
              </w:rPr>
              <w:t>成</w:t>
            </w:r>
            <w:r>
              <w:rPr>
                <w:rFonts w:ascii="宋体" w:hAnsi="宋体" w:cs="宋体"/>
                <w:spacing w:val="-5"/>
                <w:sz w:val="24"/>
              </w:rPr>
              <w:t>结</w:t>
            </w:r>
            <w:r>
              <w:rPr>
                <w:rFonts w:ascii="宋体" w:hAnsi="宋体" w:cs="宋体"/>
                <w:sz w:val="24"/>
              </w:rPr>
              <w:t>构缺陷。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在混凝土结构上剔洞时，注意不要剔断钢筋</w:t>
            </w:r>
            <w:r>
              <w:rPr>
                <w:rFonts w:hint="eastAsia" w:ascii="宋体" w:hAnsi="宋体" w:cs="宋体"/>
                <w:sz w:val="24"/>
              </w:rPr>
              <w:t>。</w:t>
            </w:r>
            <w:r>
              <w:rPr>
                <w:rFonts w:ascii="宋体" w:hAnsi="宋体" w:cs="宋体"/>
                <w:sz w:val="24"/>
              </w:rPr>
              <w:t>剔洞时</w:t>
            </w:r>
            <w:r>
              <w:rPr>
                <w:rFonts w:hint="eastAsia" w:ascii="宋体" w:hAnsi="宋体" w:cs="宋体"/>
                <w:sz w:val="24"/>
              </w:rPr>
              <w:t>，</w:t>
            </w:r>
            <w:r>
              <w:rPr>
                <w:rFonts w:ascii="宋体" w:hAnsi="宋体" w:cs="宋体"/>
                <w:sz w:val="24"/>
              </w:rPr>
              <w:t>应先用钻打孔再扩孔。严禁用大锤在板上砸孔洞。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现浇混凝土楼板上配管时，注意不要踩坏钢筋</w:t>
            </w:r>
            <w:r>
              <w:rPr>
                <w:rFonts w:hint="eastAsia" w:ascii="宋体" w:hAnsi="宋体" w:cs="宋体"/>
                <w:sz w:val="24"/>
              </w:rPr>
              <w:t>。</w:t>
            </w:r>
            <w:r>
              <w:rPr>
                <w:rFonts w:ascii="宋体" w:hAnsi="宋体" w:cs="宋体"/>
                <w:sz w:val="24"/>
              </w:rPr>
              <w:t>土建浇灌混凝土时，电工应留人看守，以免振捣时损坏配管及盒、箱移位。遇有管路损坏时，应及时修复。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管路敷设完后注意成品保护，特别是在现浇混凝土结构施工中，电工配合土建施工关系密切</w:t>
            </w:r>
            <w:r>
              <w:rPr>
                <w:rFonts w:hint="eastAsia" w:ascii="宋体" w:hAnsi="宋体" w:cs="宋体"/>
                <w:sz w:val="24"/>
              </w:rPr>
              <w:t>。</w:t>
            </w:r>
            <w:r>
              <w:rPr>
                <w:rFonts w:ascii="宋体" w:hAnsi="宋体" w:cs="宋体"/>
                <w:sz w:val="24"/>
              </w:rPr>
              <w:t>浇灌混凝土时，应派人看护，以防止管路移位或受机械损伤</w:t>
            </w:r>
            <w:r>
              <w:rPr>
                <w:rFonts w:hint="eastAsia" w:ascii="宋体" w:hAnsi="宋体" w:cs="宋体"/>
                <w:sz w:val="24"/>
              </w:rPr>
              <w:t>。</w:t>
            </w:r>
            <w:r>
              <w:rPr>
                <w:rFonts w:ascii="宋体" w:hAnsi="宋体" w:cs="宋体"/>
                <w:sz w:val="24"/>
              </w:rPr>
              <w:t>在支模和拆模时，应注意保护管路不要移位、砸扁或踩坏等现象出现。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管内穿线使用高凳及其它工具时，应注意不得碰坏其它设备和门窗、墙面、地面等。不得污染设备和建筑物品，应保持周围环境清洁。在接、焊、包全部完成后，应将导线的接头盘入盒、箱内，并</w:t>
            </w:r>
            <w:r>
              <w:rPr>
                <w:rFonts w:hint="eastAsia" w:ascii="宋体" w:hAnsi="宋体" w:cs="宋体"/>
                <w:sz w:val="24"/>
              </w:rPr>
              <w:t>用硬纸盒、挤塑板或专用保护盖保护</w:t>
            </w:r>
            <w:r>
              <w:rPr>
                <w:rFonts w:ascii="宋体" w:hAnsi="宋体" w:cs="宋体"/>
                <w:sz w:val="24"/>
              </w:rPr>
              <w:t>严实，以防污染。同时应防止盒、箱内进水。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安装开关、插座、灯具时不得碰坏墙面，要保持墙面的清洁。开关、插座、灯具必须在土建吊顶、油漆、粉刷作业完成后进行安装，如遇特殊情况要再次进行喷浆时，必须对开关、插座、灯具加以遮盖，以防止污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安装箱（盘）面板，应注意保持墙面整洁。配电箱（盘）安装后应采取保护措施，避免碰坏、弄脏电具、仪表。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配电箱、柜、插接式母线槽和电缆桥架等有烤漆或喷塑面层的电气设备安装在抹灰工程完成之后进行，其安装完成后采取塑料膜包裹或彩条布</w:t>
            </w:r>
            <w:r>
              <w:rPr>
                <w:rFonts w:hint="eastAsia" w:ascii="宋体" w:hAnsi="宋体" w:cs="宋体"/>
                <w:sz w:val="24"/>
              </w:rPr>
              <w:t>覆</w:t>
            </w:r>
            <w:r>
              <w:rPr>
                <w:rFonts w:ascii="宋体" w:hAnsi="宋体" w:cs="宋体"/>
                <w:sz w:val="24"/>
              </w:rPr>
              <w:t>盖保护措施，防止污染。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机电安装施工时，严禁对结构造成破坏，对粗装修面上的变动应先征得技术人员的同意</w:t>
            </w:r>
            <w:r>
              <w:rPr>
                <w:rFonts w:hint="eastAsia" w:ascii="宋体" w:hAnsi="宋体" w:cs="宋体"/>
                <w:sz w:val="24"/>
              </w:rPr>
              <w:t>。</w:t>
            </w:r>
            <w:r>
              <w:rPr>
                <w:rFonts w:ascii="宋体" w:hAnsi="宋体" w:cs="宋体"/>
                <w:sz w:val="24"/>
              </w:rPr>
              <w:t>在精装修已完成</w:t>
            </w:r>
            <w:r>
              <w:rPr>
                <w:rFonts w:hint="eastAsia" w:ascii="宋体" w:hAnsi="宋体" w:cs="宋体"/>
                <w:sz w:val="24"/>
              </w:rPr>
              <w:t>阶段，</w:t>
            </w:r>
            <w:r>
              <w:rPr>
                <w:rFonts w:ascii="宋体" w:hAnsi="宋体" w:cs="宋体"/>
                <w:sz w:val="24"/>
              </w:rPr>
              <w:t>电气安装施工必须采取有效措施防止损坏地面、墙面、吊顶、门窗等。电缆敷设应在吊顶、精装修工程开始前进行，</w:t>
            </w:r>
            <w:r>
              <w:rPr>
                <w:rFonts w:hint="eastAsia" w:ascii="宋体" w:hAnsi="宋体" w:cs="宋体"/>
                <w:sz w:val="24"/>
              </w:rPr>
              <w:t>以</w:t>
            </w:r>
            <w:r>
              <w:rPr>
                <w:rFonts w:ascii="宋体" w:hAnsi="宋体" w:cs="宋体"/>
                <w:sz w:val="24"/>
              </w:rPr>
              <w:t>防止电缆施工对吊顶、装饰面层的破坏。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对于变配电设备、仪器仪表、成盘电缆等重要物资在进场后</w:t>
            </w:r>
            <w:r>
              <w:rPr>
                <w:rFonts w:hint="eastAsia" w:ascii="宋体" w:hAnsi="宋体" w:cs="宋体"/>
                <w:sz w:val="24"/>
              </w:rPr>
              <w:t>至</w:t>
            </w:r>
            <w:r>
              <w:rPr>
                <w:rFonts w:ascii="宋体" w:hAnsi="宋体" w:cs="宋体"/>
                <w:sz w:val="24"/>
              </w:rPr>
              <w:t>交工验收前应设专人看护</w:t>
            </w:r>
            <w:r>
              <w:rPr>
                <w:rFonts w:hint="eastAsia" w:ascii="宋体" w:hAnsi="宋体" w:cs="宋体"/>
                <w:sz w:val="24"/>
              </w:rPr>
              <w:t>。</w:t>
            </w:r>
            <w:r>
              <w:rPr>
                <w:rFonts w:ascii="宋体" w:hAnsi="宋体" w:cs="宋体"/>
                <w:sz w:val="24"/>
              </w:rPr>
              <w:t>配电柜安装好后，应将门窗关好、锁好，以防止设备损坏及丢失。</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电缆施工过程中，应加强巡视，防止丢失或损坏。在电缆钢带上焊接地线时，电烙铁温度要适中，注意不要将电缆绝缘层烫伤。端部用彩条布保护防潮防污。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6" w:hRule="atLeast"/>
          <w:jc w:val="center"/>
        </w:trPr>
        <w:tc>
          <w:tcPr>
            <w:tcW w:w="355" w:type="pct"/>
            <w:vMerge w:val="continue"/>
            <w:shd w:val="clear" w:color="auto" w:fill="auto"/>
          </w:tcPr>
          <w:p>
            <w:pPr>
              <w:ind w:left="113" w:right="113"/>
              <w:jc w:val="center"/>
              <w:rPr>
                <w:rFonts w:ascii="宋体" w:hAnsi="宋体" w:cs="宋体"/>
                <w:b/>
                <w:sz w:val="36"/>
                <w:szCs w:val="36"/>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避雷针安装完后下部围挡防护。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0" w:hRule="atLeast"/>
          <w:jc w:val="center"/>
        </w:trPr>
        <w:tc>
          <w:tcPr>
            <w:tcW w:w="355" w:type="pct"/>
            <w:vMerge w:val="restart"/>
            <w:shd w:val="clear" w:color="auto" w:fill="auto"/>
            <w:vAlign w:val="center"/>
          </w:tcPr>
          <w:p>
            <w:pPr>
              <w:jc w:val="center"/>
              <w:rPr>
                <w:rFonts w:ascii="宋体" w:hAnsi="宋体" w:cs="宋体"/>
                <w:sz w:val="28"/>
                <w:szCs w:val="28"/>
              </w:rPr>
            </w:pPr>
            <w:r>
              <w:rPr>
                <w:rFonts w:hint="eastAsia"/>
                <w:b/>
                <w:sz w:val="28"/>
                <w:szCs w:val="28"/>
              </w:rPr>
              <w:t>做法图示</w:t>
            </w:r>
          </w:p>
        </w:tc>
        <w:tc>
          <w:tcPr>
            <w:tcW w:w="2287" w:type="pct"/>
            <w:shd w:val="clear" w:color="auto" w:fill="auto"/>
            <w:vAlign w:val="center"/>
          </w:tcPr>
          <w:p>
            <w:pPr>
              <w:widowControl/>
              <w:jc w:val="left"/>
              <w:rPr>
                <w:rFonts w:ascii="宋体" w:hAnsi="宋体" w:cs="宋体"/>
                <w:kern w:val="0"/>
                <w:sz w:val="24"/>
              </w:rPr>
            </w:pP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"D:\\..\\think\\AppData\\Roaming\\Tencent\\Users\\360431577\\QQ\\WinTemp\\RichOle\\@%FCSUSKJ77F5{%7$HJ9)6W.jpg"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INCLUDEPICTURE  "D:\\think\\AppData\\Roaming\\Tencent\\Users\\360431577\\QQ\\WinTemp\\RichOle\\@%FCSUSKJ77F5{%7$HJ9)6W.jpg" \* MERGEFORMATINET</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"C:\\Users\\shenqiyanshu\\Documents\\WeChat Files\\shenqiyanshu\\FileStorage\\think\\AppData\\Roaming\\Tencent\\Users\\360431577\\QQ\\WinTemp\\RichOle\\@%FCSUSKJ77F5{%7$HJ9)6W.jpg"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"D:\\融创\\各类支撑文件\\工程相关要求\\think\\AppData\\Roaming\\Tencent\\Users\\360431577\\QQ\\WinTemp\\RichOle\\@%FCSUSKJ77F5{%7$HJ9)6W.jpg"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"D:\\融创\\各类支撑文件\\工程相关要求\\think\\AppData\\Roaming\\Tencent\\Users\\360431577\\QQ\\WinTemp\\RichOle\\@%FCSUSKJ77F5{%7$HJ9)6W.jpg"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"D:\\融创广深\\25. 标准化文件\\标准化招标文件\\招标文件（消防）\\think\\AppData\\Roaming\\Tencent\\Users\\360431577\\QQ\\WinTemp\\RichOle\\@%FCSUSKJ77F5{%7$HJ9)6W.jpg" \* MERGEFORMATINET </w:instrText>
            </w:r>
            <w:r>
              <w:rPr>
                <w:rFonts w:ascii="宋体" w:hAnsi="宋体" w:cs="宋体"/>
                <w:kern w:val="0"/>
                <w:sz w:val="24"/>
              </w:rPr>
              <w:fldChar w:fldCharType="separate"/>
            </w:r>
            <w:r>
              <w:rPr>
                <w:rFonts w:ascii="宋体" w:hAnsi="宋体" w:cs="宋体"/>
                <w:kern w:val="0"/>
                <w:sz w:val="24"/>
              </w:rPr>
              <w:drawing>
                <wp:inline distT="0" distB="0" distL="114300" distR="114300">
                  <wp:extent cx="2562225" cy="2295525"/>
                  <wp:effectExtent l="0" t="0" r="317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r:link="rId7"/>
                          <a:stretch>
                            <a:fillRect/>
                          </a:stretch>
                        </pic:blipFill>
                        <pic:spPr>
                          <a:xfrm>
                            <a:off x="0" y="0"/>
                            <a:ext cx="2562225" cy="2295525"/>
                          </a:xfrm>
                          <a:prstGeom prst="rect">
                            <a:avLst/>
                          </a:prstGeom>
                          <a:noFill/>
                          <a:ln>
                            <a:noFill/>
                          </a:ln>
                        </pic:spPr>
                      </pic:pic>
                    </a:graphicData>
                  </a:graphic>
                </wp:inline>
              </w:drawing>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p>
          <w:p>
            <w:pPr>
              <w:widowControl/>
              <w:jc w:val="center"/>
              <w:rPr>
                <w:rFonts w:ascii="宋体" w:hAnsi="宋体" w:cs="宋体"/>
                <w:kern w:val="0"/>
                <w:sz w:val="24"/>
              </w:rPr>
            </w:pPr>
            <w:r>
              <w:rPr>
                <w:rFonts w:ascii="宋体" w:hAnsi="宋体" w:cs="宋体"/>
                <w:szCs w:val="21"/>
              </w:rPr>
              <w:t>桥架用塑</w:t>
            </w:r>
            <w:r>
              <w:rPr>
                <w:rFonts w:ascii="宋体" w:hAnsi="宋体" w:cs="宋体"/>
                <w:spacing w:val="-5"/>
                <w:szCs w:val="21"/>
              </w:rPr>
              <w:t>料</w:t>
            </w:r>
            <w:r>
              <w:rPr>
                <w:rFonts w:ascii="宋体" w:hAnsi="宋体" w:cs="宋体"/>
                <w:szCs w:val="21"/>
              </w:rPr>
              <w:t>薄膜包</w:t>
            </w:r>
            <w:r>
              <w:rPr>
                <w:rFonts w:ascii="宋体" w:hAnsi="宋体" w:cs="宋体"/>
                <w:spacing w:val="-5"/>
                <w:szCs w:val="21"/>
              </w:rPr>
              <w:t>裹</w:t>
            </w:r>
            <w:r>
              <w:rPr>
                <w:rFonts w:ascii="宋体" w:hAnsi="宋体" w:cs="宋体"/>
                <w:szCs w:val="21"/>
              </w:rPr>
              <w:t>保护</w:t>
            </w:r>
            <w:r>
              <w:rPr>
                <w:rFonts w:hint="eastAsia" w:ascii="宋体" w:hAnsi="宋体" w:cs="宋体"/>
                <w:szCs w:val="21"/>
              </w:rPr>
              <w:t>（因工序原因才做）</w:t>
            </w:r>
          </w:p>
        </w:tc>
        <w:tc>
          <w:tcPr>
            <w:tcW w:w="2358" w:type="pct"/>
            <w:shd w:val="clear" w:color="auto" w:fill="auto"/>
            <w:vAlign w:val="center"/>
          </w:tcPr>
          <w:p>
            <w:pPr>
              <w:spacing w:line="252" w:lineRule="auto"/>
              <w:ind w:right="126"/>
              <w:jc w:val="left"/>
            </w:pPr>
            <w:r>
              <w:drawing>
                <wp:inline distT="0" distB="0" distL="0" distR="0">
                  <wp:extent cx="2687320" cy="2294255"/>
                  <wp:effectExtent l="0" t="0" r="5080" b="444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8">
                            <a:extLst>
                              <a:ext uri="{28A0092B-C50C-407E-A947-70E740481C1C}">
                                <a14:useLocalDpi xmlns:a14="http://schemas.microsoft.com/office/drawing/2010/main" val="0"/>
                              </a:ext>
                            </a:extLst>
                          </a:blip>
                          <a:srcRect t="11026"/>
                          <a:stretch>
                            <a:fillRect/>
                          </a:stretch>
                        </pic:blipFill>
                        <pic:spPr>
                          <a:xfrm>
                            <a:off x="0" y="0"/>
                            <a:ext cx="2721431" cy="2323252"/>
                          </a:xfrm>
                          <a:prstGeom prst="rect">
                            <a:avLst/>
                          </a:prstGeom>
                          <a:noFill/>
                          <a:ln>
                            <a:noFill/>
                          </a:ln>
                        </pic:spPr>
                      </pic:pic>
                    </a:graphicData>
                  </a:graphic>
                </wp:inline>
              </w:drawing>
            </w:r>
          </w:p>
          <w:p>
            <w:pPr>
              <w:spacing w:line="252" w:lineRule="auto"/>
              <w:ind w:right="126"/>
              <w:jc w:val="center"/>
              <w:rPr>
                <w:rFonts w:ascii="宋体" w:hAnsi="宋体" w:cs="宋体"/>
                <w:szCs w:val="21"/>
              </w:rPr>
            </w:pPr>
            <w:r>
              <w:rPr>
                <w:rFonts w:ascii="宋体" w:hAnsi="宋体" w:cs="宋体"/>
                <w:szCs w:val="21"/>
              </w:rPr>
              <w:t>接线盒用</w:t>
            </w:r>
            <w:r>
              <w:rPr>
                <w:rFonts w:ascii="宋体" w:hAnsi="宋体" w:cs="宋体"/>
                <w:spacing w:val="-5"/>
                <w:szCs w:val="21"/>
              </w:rPr>
              <w:t>胶</w:t>
            </w:r>
            <w:r>
              <w:rPr>
                <w:rFonts w:ascii="宋体" w:hAnsi="宋体" w:cs="宋体"/>
                <w:szCs w:val="21"/>
              </w:rPr>
              <w:t>带缠绕</w:t>
            </w:r>
            <w:r>
              <w:rPr>
                <w:rFonts w:ascii="宋体" w:hAnsi="宋体" w:cs="宋体"/>
                <w:spacing w:val="-5"/>
                <w:szCs w:val="21"/>
              </w:rPr>
              <w:t>密</w:t>
            </w:r>
            <w:r>
              <w:rPr>
                <w:rFonts w:ascii="宋体" w:hAnsi="宋体" w:cs="宋体"/>
                <w:szCs w:val="21"/>
              </w:rPr>
              <w:t>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0" w:hRule="atLeast"/>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2287" w:type="pct"/>
            <w:shd w:val="clear" w:color="auto" w:fill="auto"/>
          </w:tcPr>
          <w:p>
            <w:pPr>
              <w:spacing w:line="288" w:lineRule="auto"/>
              <w:jc w:val="left"/>
              <w:rPr>
                <w:rFonts w:ascii="宋体" w:hAnsi="宋体" w:cs="宋体"/>
                <w:szCs w:val="21"/>
              </w:rPr>
            </w:pPr>
            <w:r>
              <w:rPr>
                <w:rFonts w:ascii="宋体" w:hAnsi="宋体" w:cs="宋体"/>
                <w:szCs w:val="21"/>
              </w:rPr>
              <w:drawing>
                <wp:inline distT="0" distB="0" distL="0" distR="0">
                  <wp:extent cx="2599690" cy="2345055"/>
                  <wp:effectExtent l="0" t="0" r="3810" b="444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650651" cy="2390762"/>
                          </a:xfrm>
                          <a:prstGeom prst="rect">
                            <a:avLst/>
                          </a:prstGeom>
                          <a:noFill/>
                          <a:ln>
                            <a:noFill/>
                          </a:ln>
                        </pic:spPr>
                      </pic:pic>
                    </a:graphicData>
                  </a:graphic>
                </wp:inline>
              </w:drawing>
            </w:r>
          </w:p>
          <w:p>
            <w:pPr>
              <w:spacing w:line="288" w:lineRule="auto"/>
              <w:jc w:val="center"/>
              <w:rPr>
                <w:rFonts w:ascii="宋体" w:hAnsi="宋体" w:cs="宋体"/>
                <w:szCs w:val="21"/>
              </w:rPr>
            </w:pPr>
            <w:r>
              <w:rPr>
                <w:rFonts w:ascii="宋体" w:hAnsi="宋体" w:cs="宋体"/>
                <w:szCs w:val="21"/>
              </w:rPr>
              <w:t>母线</w:t>
            </w:r>
            <w:r>
              <w:rPr>
                <w:rFonts w:hint="eastAsia" w:ascii="宋体" w:hAnsi="宋体" w:cs="宋体"/>
                <w:szCs w:val="21"/>
              </w:rPr>
              <w:t>用塑料保护膜</w:t>
            </w:r>
            <w:r>
              <w:rPr>
                <w:rFonts w:ascii="宋体" w:hAnsi="宋体" w:cs="宋体"/>
                <w:szCs w:val="21"/>
              </w:rPr>
              <w:t>包裹</w:t>
            </w:r>
            <w:r>
              <w:rPr>
                <w:rFonts w:ascii="宋体" w:hAnsi="宋体" w:cs="宋体"/>
                <w:spacing w:val="-5"/>
                <w:szCs w:val="21"/>
              </w:rPr>
              <w:t>保</w:t>
            </w:r>
            <w:r>
              <w:rPr>
                <w:rFonts w:ascii="宋体" w:hAnsi="宋体" w:cs="宋体"/>
                <w:szCs w:val="21"/>
              </w:rPr>
              <w:t>护</w:t>
            </w:r>
            <w:r>
              <w:rPr>
                <w:rFonts w:hint="eastAsia" w:ascii="宋体" w:hAnsi="宋体" w:cs="宋体"/>
                <w:szCs w:val="21"/>
              </w:rPr>
              <w:t>（因工序原因才做）</w:t>
            </w:r>
          </w:p>
        </w:tc>
        <w:tc>
          <w:tcPr>
            <w:tcW w:w="2358" w:type="pct"/>
            <w:shd w:val="clear" w:color="auto" w:fill="auto"/>
          </w:tcPr>
          <w:p>
            <w:pPr>
              <w:spacing w:line="288" w:lineRule="auto"/>
              <w:jc w:val="center"/>
              <w:rPr>
                <w:rFonts w:ascii="宋体" w:hAnsi="宋体" w:cs="宋体"/>
                <w:szCs w:val="21"/>
              </w:rPr>
            </w:pPr>
            <w:r>
              <w:drawing>
                <wp:inline distT="0" distB="0" distL="0" distR="0">
                  <wp:extent cx="2743200" cy="2371090"/>
                  <wp:effectExtent l="0" t="0" r="0" b="381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0"/>
                          <a:stretch>
                            <a:fillRect/>
                          </a:stretch>
                        </pic:blipFill>
                        <pic:spPr>
                          <a:xfrm>
                            <a:off x="0" y="0"/>
                            <a:ext cx="2743200" cy="2371090"/>
                          </a:xfrm>
                          <a:prstGeom prst="rect">
                            <a:avLst/>
                          </a:prstGeom>
                        </pic:spPr>
                      </pic:pic>
                    </a:graphicData>
                  </a:graphic>
                </wp:inline>
              </w:drawing>
            </w:r>
          </w:p>
          <w:p>
            <w:pPr>
              <w:spacing w:line="288" w:lineRule="auto"/>
              <w:jc w:val="center"/>
              <w:rPr>
                <w:rFonts w:ascii="宋体" w:hAnsi="宋体" w:cs="宋体"/>
                <w:szCs w:val="21"/>
              </w:rPr>
            </w:pPr>
            <w:r>
              <w:rPr>
                <w:rFonts w:hint="eastAsia" w:ascii="宋体" w:hAnsi="宋体" w:cs="宋体"/>
                <w:szCs w:val="21"/>
              </w:rPr>
              <w:t>配电箱用覆膜保护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0" w:hRule="atLeast"/>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2287" w:type="pct"/>
            <w:shd w:val="clear" w:color="auto" w:fill="auto"/>
          </w:tcPr>
          <w:p>
            <w:pPr>
              <w:widowControl/>
              <w:jc w:val="center"/>
              <w:rPr>
                <w:rFonts w:ascii="宋体" w:hAnsi="宋体" w:cs="宋体"/>
                <w:kern w:val="0"/>
                <w:sz w:val="24"/>
              </w:rPr>
            </w:pPr>
            <w:r>
              <w:drawing>
                <wp:inline distT="0" distB="0" distL="0" distR="0">
                  <wp:extent cx="2548890" cy="2178050"/>
                  <wp:effectExtent l="0" t="0" r="381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rcRect l="3941" r="30048"/>
                          <a:stretch>
                            <a:fillRect/>
                          </a:stretch>
                        </pic:blipFill>
                        <pic:spPr>
                          <a:xfrm>
                            <a:off x="0" y="0"/>
                            <a:ext cx="2574080" cy="2199340"/>
                          </a:xfrm>
                          <a:prstGeom prst="rect">
                            <a:avLst/>
                          </a:prstGeom>
                          <a:ln>
                            <a:noFill/>
                          </a:ln>
                        </pic:spPr>
                      </pic:pic>
                    </a:graphicData>
                  </a:graphic>
                </wp:inline>
              </w:drawing>
            </w:r>
          </w:p>
          <w:p>
            <w:pPr>
              <w:spacing w:line="288" w:lineRule="auto"/>
              <w:jc w:val="center"/>
              <w:rPr>
                <w:rFonts w:ascii="宋体" w:hAnsi="宋体" w:cs="宋体"/>
                <w:szCs w:val="21"/>
              </w:rPr>
            </w:pPr>
            <w:r>
              <w:rPr>
                <w:rFonts w:ascii="宋体" w:hAnsi="宋体" w:cs="宋体"/>
                <w:szCs w:val="21"/>
              </w:rPr>
              <w:t>线盒</w:t>
            </w:r>
            <w:r>
              <w:rPr>
                <w:rFonts w:hint="eastAsia" w:ascii="宋体" w:hAnsi="宋体" w:cs="宋体"/>
                <w:szCs w:val="21"/>
              </w:rPr>
              <w:t>塞泡沫</w:t>
            </w:r>
            <w:r>
              <w:rPr>
                <w:rFonts w:ascii="宋体" w:hAnsi="宋体" w:cs="宋体"/>
                <w:spacing w:val="-5"/>
                <w:szCs w:val="21"/>
              </w:rPr>
              <w:t>保</w:t>
            </w:r>
            <w:r>
              <w:rPr>
                <w:rFonts w:ascii="宋体" w:hAnsi="宋体" w:cs="宋体"/>
                <w:szCs w:val="21"/>
              </w:rPr>
              <w:t>护</w:t>
            </w:r>
          </w:p>
        </w:tc>
        <w:tc>
          <w:tcPr>
            <w:tcW w:w="2358" w:type="pct"/>
            <w:shd w:val="clear" w:color="auto" w:fill="auto"/>
          </w:tcPr>
          <w:p>
            <w:pPr>
              <w:spacing w:line="288" w:lineRule="auto"/>
              <w:rPr>
                <w:rFonts w:ascii="宋体" w:hAnsi="宋体" w:cs="宋体"/>
                <w:szCs w:val="21"/>
              </w:rPr>
            </w:pPr>
            <w:r>
              <w:drawing>
                <wp:inline distT="0" distB="0" distL="0" distR="0">
                  <wp:extent cx="2788920" cy="2153920"/>
                  <wp:effectExtent l="0" t="0" r="508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2793369" cy="2157659"/>
                          </a:xfrm>
                          <a:prstGeom prst="rect">
                            <a:avLst/>
                          </a:prstGeom>
                        </pic:spPr>
                      </pic:pic>
                    </a:graphicData>
                  </a:graphic>
                </wp:inline>
              </w:drawing>
            </w:r>
          </w:p>
          <w:p>
            <w:pPr>
              <w:spacing w:line="288" w:lineRule="auto"/>
              <w:jc w:val="center"/>
              <w:rPr>
                <w:rFonts w:ascii="宋体" w:hAnsi="宋体" w:cs="宋体"/>
                <w:szCs w:val="21"/>
              </w:rPr>
            </w:pPr>
            <w:r>
              <w:rPr>
                <w:rFonts w:ascii="宋体" w:hAnsi="宋体" w:cs="宋体"/>
                <w:szCs w:val="21"/>
              </w:rPr>
              <w:t>高低压配</w:t>
            </w:r>
            <w:r>
              <w:rPr>
                <w:rFonts w:ascii="宋体" w:hAnsi="宋体" w:cs="宋体"/>
                <w:spacing w:val="-5"/>
                <w:szCs w:val="21"/>
              </w:rPr>
              <w:t>电</w:t>
            </w:r>
            <w:r>
              <w:rPr>
                <w:rFonts w:hint="eastAsia" w:ascii="宋体" w:hAnsi="宋体" w:cs="宋体"/>
                <w:spacing w:val="-5"/>
                <w:szCs w:val="21"/>
              </w:rPr>
              <w:t>及成套设备用塑料膜或彩条布保护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0" w:hRule="atLeast"/>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2287" w:type="pct"/>
            <w:shd w:val="clear" w:color="auto" w:fill="auto"/>
          </w:tcPr>
          <w:p>
            <w:pPr>
              <w:spacing w:line="288" w:lineRule="auto"/>
              <w:jc w:val="center"/>
              <w:rPr>
                <w:rFonts w:ascii="宋体" w:hAnsi="宋体" w:cs="宋体"/>
                <w:szCs w:val="21"/>
              </w:rPr>
            </w:pPr>
            <w:r>
              <w:rPr>
                <w:rFonts w:ascii="宋体" w:hAnsi="宋体" w:cs="宋体"/>
                <w:szCs w:val="21"/>
              </w:rPr>
              <w:drawing>
                <wp:inline distT="0" distB="0" distL="0" distR="0">
                  <wp:extent cx="2802890" cy="2311400"/>
                  <wp:effectExtent l="0" t="0" r="381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818440" cy="2323780"/>
                          </a:xfrm>
                          <a:prstGeom prst="rect">
                            <a:avLst/>
                          </a:prstGeom>
                          <a:noFill/>
                          <a:ln>
                            <a:noFill/>
                          </a:ln>
                        </pic:spPr>
                      </pic:pic>
                    </a:graphicData>
                  </a:graphic>
                </wp:inline>
              </w:drawing>
            </w:r>
          </w:p>
          <w:p>
            <w:pPr>
              <w:spacing w:line="288" w:lineRule="auto"/>
              <w:jc w:val="center"/>
              <w:rPr>
                <w:rFonts w:ascii="宋体" w:hAnsi="宋体" w:cs="宋体"/>
                <w:szCs w:val="21"/>
              </w:rPr>
            </w:pPr>
            <w:r>
              <w:rPr>
                <w:rFonts w:hint="eastAsia" w:ascii="宋体" w:hAnsi="宋体" w:cs="宋体"/>
                <w:szCs w:val="21"/>
              </w:rPr>
              <w:t>设备用原包装或塑料膜覆盖保护</w:t>
            </w:r>
          </w:p>
        </w:tc>
        <w:tc>
          <w:tcPr>
            <w:tcW w:w="2358" w:type="pct"/>
            <w:shd w:val="clear" w:color="auto" w:fill="auto"/>
          </w:tcPr>
          <w:p>
            <w:pPr>
              <w:spacing w:line="288" w:lineRule="auto"/>
              <w:jc w:val="center"/>
              <w:rPr>
                <w:rFonts w:ascii="宋体" w:hAnsi="宋体" w:cs="宋体"/>
                <w:szCs w:val="21"/>
              </w:rPr>
            </w:pPr>
            <w:r>
              <w:drawing>
                <wp:inline distT="0" distB="0" distL="0" distR="0">
                  <wp:extent cx="2581910" cy="2305685"/>
                  <wp:effectExtent l="0" t="0" r="8890" b="571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4"/>
                          <a:stretch>
                            <a:fillRect/>
                          </a:stretch>
                        </pic:blipFill>
                        <pic:spPr>
                          <a:xfrm>
                            <a:off x="0" y="0"/>
                            <a:ext cx="2629376" cy="2348164"/>
                          </a:xfrm>
                          <a:prstGeom prst="rect">
                            <a:avLst/>
                          </a:prstGeom>
                        </pic:spPr>
                      </pic:pic>
                    </a:graphicData>
                  </a:graphic>
                </wp:inline>
              </w:drawing>
            </w:r>
          </w:p>
          <w:p>
            <w:pPr>
              <w:spacing w:line="288" w:lineRule="auto"/>
              <w:jc w:val="center"/>
              <w:rPr>
                <w:rFonts w:ascii="宋体" w:hAnsi="宋体" w:cs="宋体"/>
                <w:szCs w:val="21"/>
              </w:rPr>
            </w:pPr>
            <w:r>
              <w:rPr>
                <w:rFonts w:hint="eastAsia" w:ascii="宋体" w:hAnsi="宋体" w:cs="宋体"/>
                <w:szCs w:val="21"/>
              </w:rPr>
              <w:t>照明灯具覆膜保护</w:t>
            </w:r>
          </w:p>
        </w:tc>
      </w:tr>
    </w:tbl>
    <w:p>
      <w:pPr>
        <w:pStyle w:val="8"/>
        <w:numPr>
          <w:ilvl w:val="1"/>
          <w:numId w:val="1"/>
        </w:numPr>
        <w:spacing w:line="360" w:lineRule="auto"/>
        <w:ind w:left="0" w:firstLine="0" w:firstLineChars="0"/>
        <w:outlineLvl w:val="1"/>
      </w:pPr>
      <w:bookmarkStart w:id="16" w:name="_Toc36223796"/>
      <w:r>
        <w:rPr>
          <w:rFonts w:hint="eastAsia" w:ascii="宋体" w:hAnsi="宋体"/>
          <w:sz w:val="24"/>
        </w:rPr>
        <w:t>给排水工程</w:t>
      </w:r>
      <w:bookmarkEnd w:id="16"/>
    </w:p>
    <w:tbl>
      <w:tblPr>
        <w:tblStyle w:val="6"/>
        <w:tblW w:w="530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21"/>
        <w:gridCol w:w="4645"/>
        <w:gridCol w:w="47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restart"/>
            <w:shd w:val="clear" w:color="auto" w:fill="auto"/>
            <w:textDirection w:val="tbRlV"/>
            <w:vAlign w:val="center"/>
          </w:tcPr>
          <w:p>
            <w:pPr>
              <w:spacing w:line="300" w:lineRule="auto"/>
              <w:ind w:left="113" w:right="113"/>
              <w:jc w:val="center"/>
              <w:rPr>
                <w:rFonts w:ascii="宋体" w:hAnsi="宋体" w:cs="宋体"/>
                <w:b/>
                <w:kern w:val="0"/>
                <w:sz w:val="28"/>
                <w:szCs w:val="28"/>
              </w:rPr>
            </w:pPr>
            <w:r>
              <w:rPr>
                <w:rFonts w:hint="eastAsia" w:ascii="宋体" w:hAnsi="宋体" w:cs="宋体"/>
                <w:b/>
                <w:kern w:val="0"/>
                <w:sz w:val="28"/>
                <w:szCs w:val="28"/>
              </w:rPr>
              <w:t>保护措施</w:t>
            </w:r>
          </w:p>
        </w:tc>
        <w:tc>
          <w:tcPr>
            <w:tcW w:w="4645" w:type="pct"/>
            <w:gridSpan w:val="2"/>
            <w:shd w:val="clear" w:color="auto" w:fill="auto"/>
          </w:tcPr>
          <w:p>
            <w:pPr>
              <w:spacing w:line="324" w:lineRule="auto"/>
              <w:rPr>
                <w:rFonts w:ascii="宋体" w:hAnsi="宋体" w:cs="宋体"/>
                <w:sz w:val="24"/>
              </w:rPr>
            </w:pPr>
            <w:r>
              <w:rPr>
                <w:rFonts w:ascii="宋体" w:hAnsi="宋体" w:cs="宋体"/>
                <w:sz w:val="24"/>
              </w:rPr>
              <w:t>管道安装完成后用彩条布或塑料薄膜及时包裹保护，已完成的工序成品部位设置“保护成品，请勿乱动”标识牌。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安装好的管道不得用做支撑或放脚手板，不得踏压</w:t>
            </w:r>
            <w:r>
              <w:rPr>
                <w:rFonts w:hint="eastAsia" w:ascii="宋体" w:hAnsi="宋体" w:cs="宋体"/>
                <w:sz w:val="24"/>
              </w:rPr>
              <w:t>。</w:t>
            </w:r>
            <w:r>
              <w:rPr>
                <w:rFonts w:ascii="宋体" w:hAnsi="宋体" w:cs="宋体"/>
                <w:sz w:val="24"/>
              </w:rPr>
              <w:t>其支托卡架不做为其它用途的受力点。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管道安装完成后，应将所有管路封闭严密，防止杂物进入造成管道堵塞</w:t>
            </w:r>
            <w:r>
              <w:rPr>
                <w:rFonts w:hint="eastAsia" w:ascii="宋体" w:hAnsi="宋体" w:cs="宋体"/>
                <w:sz w:val="24"/>
              </w:rPr>
              <w:t>。</w:t>
            </w:r>
            <w:r>
              <w:rPr>
                <w:rFonts w:ascii="宋体" w:hAnsi="宋体" w:cs="宋体"/>
                <w:sz w:val="24"/>
              </w:rPr>
              <w:t>各部位的仪表等均应加强管理，防止丢失和损坏。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对刚安装好的面盆、浴盆及台面不准摆放工具及其它物品</w:t>
            </w:r>
            <w:r>
              <w:rPr>
                <w:rFonts w:hint="eastAsia" w:ascii="宋体" w:hAnsi="宋体" w:cs="宋体"/>
                <w:sz w:val="24"/>
              </w:rPr>
              <w:t>。</w:t>
            </w:r>
            <w:r>
              <w:rPr>
                <w:rFonts w:ascii="宋体" w:hAnsi="宋体" w:cs="宋体"/>
                <w:sz w:val="24"/>
              </w:rPr>
              <w:t>地漏完工后应用板盖好，以防堵塞</w:t>
            </w:r>
            <w:r>
              <w:rPr>
                <w:rFonts w:hint="eastAsia" w:ascii="宋体" w:hAnsi="宋体" w:cs="宋体"/>
                <w:sz w:val="24"/>
              </w:rPr>
              <w:t>。</w:t>
            </w:r>
            <w:r>
              <w:rPr>
                <w:rFonts w:ascii="宋体" w:hAnsi="宋体" w:cs="宋体"/>
                <w:sz w:val="24"/>
              </w:rPr>
              <w:t>完工后的卫生间不经允许任何人不得入内。</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报警阀配件、消火栓箱内附件、各部位的仪表等均应重点保管，防止丢失和损坏。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管材和管件在运输、装卸和搬动时应轻拿轻放，不得抛、摔、拖。塑料管材、管件应存放于温度不大于40℃的库房内，距离热源不得小于1m，库房应通风良好。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PVC管材应平堆放在平整的地面上，不得不规则堆放，不得曝晒。当用支垫物支垫时，支垫宽度不得小于75mm，其间距不得大于1m，外悬的端部不宜大于500mm。叠置高度不得超过1.5m。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hint="eastAsia" w:ascii="宋体" w:hAnsi="宋体" w:cs="宋体"/>
                <w:sz w:val="24"/>
              </w:rPr>
              <w:t>及时</w:t>
            </w:r>
            <w:r>
              <w:rPr>
                <w:rFonts w:ascii="宋体" w:hAnsi="宋体" w:cs="宋体"/>
                <w:sz w:val="24"/>
              </w:rPr>
              <w:t>清理泵房积水，保持</w:t>
            </w:r>
            <w:r>
              <w:rPr>
                <w:rFonts w:hint="eastAsia" w:ascii="宋体" w:hAnsi="宋体" w:cs="宋体"/>
                <w:sz w:val="24"/>
              </w:rPr>
              <w:t>机房</w:t>
            </w:r>
            <w:r>
              <w:rPr>
                <w:rFonts w:ascii="宋体" w:hAnsi="宋体" w:cs="宋体"/>
                <w:sz w:val="24"/>
              </w:rPr>
              <w:t>干燥</w:t>
            </w:r>
            <w:r>
              <w:rPr>
                <w:rFonts w:hint="eastAsia" w:ascii="宋体" w:hAnsi="宋体" w:cs="宋体"/>
                <w:sz w:val="24"/>
              </w:rPr>
              <w:t>，</w:t>
            </w:r>
            <w:r>
              <w:rPr>
                <w:rFonts w:ascii="宋体" w:hAnsi="宋体" w:cs="宋体"/>
                <w:sz w:val="24"/>
              </w:rPr>
              <w:t>防止机</w:t>
            </w:r>
            <w:r>
              <w:rPr>
                <w:rFonts w:hint="eastAsia" w:ascii="宋体" w:hAnsi="宋体" w:cs="宋体"/>
                <w:sz w:val="24"/>
              </w:rPr>
              <w:t>电设备</w:t>
            </w:r>
            <w:r>
              <w:rPr>
                <w:rFonts w:ascii="宋体" w:hAnsi="宋体" w:cs="宋体"/>
                <w:sz w:val="24"/>
              </w:rPr>
              <w:t>受潮</w:t>
            </w:r>
            <w:r>
              <w:rPr>
                <w:rFonts w:hint="eastAsia" w:ascii="宋体" w:hAnsi="宋体" w:cs="宋体"/>
                <w:sz w:val="24"/>
              </w:rPr>
              <w:t>。</w:t>
            </w:r>
            <w:r>
              <w:rPr>
                <w:rFonts w:ascii="宋体" w:hAnsi="宋体" w:cs="宋体"/>
                <w:sz w:val="24"/>
              </w:rPr>
              <w:t>施工完后用木板或彩条布保护防止污染</w:t>
            </w:r>
            <w:r>
              <w:rPr>
                <w:rFonts w:hint="eastAsia" w:ascii="宋体" w:hAnsi="宋体" w:cs="宋体"/>
                <w:sz w:val="24"/>
              </w:rPr>
              <w:t>。</w:t>
            </w:r>
            <w:r>
              <w:rPr>
                <w:rFonts w:ascii="宋体" w:hAnsi="宋体" w:cs="宋体"/>
                <w:sz w:val="24"/>
              </w:rPr>
              <w:t>机房</w:t>
            </w:r>
            <w:r>
              <w:rPr>
                <w:rFonts w:hint="eastAsia" w:ascii="宋体" w:hAnsi="宋体" w:cs="宋体"/>
                <w:sz w:val="24"/>
              </w:rPr>
              <w:t>需及时</w:t>
            </w:r>
            <w:r>
              <w:rPr>
                <w:rFonts w:ascii="宋体" w:hAnsi="宋体" w:cs="宋体"/>
                <w:sz w:val="24"/>
              </w:rPr>
              <w:t>安装</w:t>
            </w:r>
            <w:r>
              <w:rPr>
                <w:rFonts w:hint="eastAsia" w:ascii="宋体" w:hAnsi="宋体" w:cs="宋体"/>
                <w:sz w:val="24"/>
              </w:rPr>
              <w:t>带锁的防火门或</w:t>
            </w:r>
            <w:r>
              <w:rPr>
                <w:rFonts w:ascii="宋体" w:hAnsi="宋体" w:cs="宋体"/>
                <w:sz w:val="24"/>
              </w:rPr>
              <w:t>临时门</w:t>
            </w:r>
            <w:r>
              <w:rPr>
                <w:rFonts w:hint="eastAsia" w:ascii="宋体" w:hAnsi="宋体" w:cs="宋体"/>
                <w:sz w:val="24"/>
              </w:rPr>
              <w:t>，</w:t>
            </w:r>
            <w:r>
              <w:rPr>
                <w:rFonts w:ascii="宋体" w:hAnsi="宋体" w:cs="宋体"/>
                <w:sz w:val="24"/>
              </w:rPr>
              <w:t>防止</w:t>
            </w:r>
            <w:r>
              <w:rPr>
                <w:rFonts w:hint="eastAsia" w:ascii="宋体" w:hAnsi="宋体" w:cs="宋体"/>
                <w:sz w:val="24"/>
              </w:rPr>
              <w:t>闲杂</w:t>
            </w:r>
            <w:r>
              <w:rPr>
                <w:rFonts w:ascii="宋体" w:hAnsi="宋体" w:cs="宋体"/>
                <w:sz w:val="24"/>
              </w:rPr>
              <w:t>人员进入损坏机组。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vAlign w:val="center"/>
          </w:tcPr>
          <w:p>
            <w:pPr>
              <w:spacing w:line="324" w:lineRule="auto"/>
              <w:rPr>
                <w:rFonts w:ascii="宋体" w:hAnsi="宋体" w:cs="宋体"/>
                <w:sz w:val="24"/>
              </w:rPr>
            </w:pPr>
            <w:r>
              <w:rPr>
                <w:rFonts w:ascii="宋体" w:hAnsi="宋体" w:cs="宋体"/>
                <w:sz w:val="24"/>
              </w:rPr>
              <w:t>不锈钢水箱施工完后</w:t>
            </w:r>
            <w:r>
              <w:rPr>
                <w:rFonts w:ascii="宋体" w:hAnsi="宋体" w:cs="宋体"/>
                <w:spacing w:val="-5"/>
                <w:sz w:val="24"/>
              </w:rPr>
              <w:t>用</w:t>
            </w:r>
            <w:r>
              <w:rPr>
                <w:rFonts w:ascii="宋体" w:hAnsi="宋体" w:cs="宋体"/>
                <w:sz w:val="24"/>
              </w:rPr>
              <w:t>彩条布</w:t>
            </w:r>
            <w:r>
              <w:rPr>
                <w:rFonts w:ascii="宋体" w:hAnsi="宋体" w:cs="宋体"/>
                <w:spacing w:val="-5"/>
                <w:sz w:val="24"/>
              </w:rPr>
              <w:t>保</w:t>
            </w:r>
            <w:r>
              <w:rPr>
                <w:rFonts w:ascii="宋体" w:hAnsi="宋体" w:cs="宋体"/>
                <w:sz w:val="24"/>
              </w:rPr>
              <w:t>护防止</w:t>
            </w:r>
            <w:r>
              <w:rPr>
                <w:rFonts w:ascii="宋体" w:hAnsi="宋体" w:cs="宋体"/>
                <w:spacing w:val="-5"/>
                <w:sz w:val="24"/>
              </w:rPr>
              <w:t>污</w:t>
            </w:r>
            <w:r>
              <w:rPr>
                <w:rFonts w:ascii="宋体" w:hAnsi="宋体" w:cs="宋体"/>
                <w:sz w:val="24"/>
              </w:rPr>
              <w:t>染</w:t>
            </w:r>
            <w:r>
              <w:rPr>
                <w:rFonts w:hint="eastAsia" w:ascii="宋体" w:hAnsi="宋体" w:cs="宋体"/>
                <w:sz w:val="24"/>
              </w:rPr>
              <w:t>，</w:t>
            </w:r>
            <w:r>
              <w:rPr>
                <w:rFonts w:ascii="宋体" w:hAnsi="宋体" w:cs="宋体"/>
                <w:sz w:val="24"/>
              </w:rPr>
              <w:t>并</w:t>
            </w:r>
            <w:r>
              <w:rPr>
                <w:rFonts w:ascii="宋体" w:hAnsi="宋体" w:cs="宋体"/>
                <w:spacing w:val="-5"/>
                <w:sz w:val="24"/>
              </w:rPr>
              <w:t>用</w:t>
            </w:r>
            <w:r>
              <w:rPr>
                <w:rFonts w:ascii="宋体" w:hAnsi="宋体" w:cs="宋体"/>
                <w:sz w:val="24"/>
              </w:rPr>
              <w:t>层板临</w:t>
            </w:r>
            <w:r>
              <w:rPr>
                <w:rFonts w:ascii="宋体" w:hAnsi="宋体" w:cs="宋体"/>
                <w:spacing w:val="-5"/>
                <w:sz w:val="24"/>
              </w:rPr>
              <w:t>时</w:t>
            </w:r>
            <w:r>
              <w:rPr>
                <w:rFonts w:ascii="宋体" w:hAnsi="宋体" w:cs="宋体"/>
                <w:sz w:val="24"/>
              </w:rPr>
              <w:t>保</w:t>
            </w:r>
            <w:r>
              <w:rPr>
                <w:rFonts w:ascii="宋体" w:hAnsi="宋体" w:cs="宋体"/>
                <w:spacing w:val="-5"/>
                <w:sz w:val="24"/>
              </w:rPr>
              <w:t>护</w:t>
            </w:r>
            <w:r>
              <w:rPr>
                <w:rFonts w:ascii="宋体" w:hAnsi="宋体" w:cs="宋体"/>
                <w:sz w:val="24"/>
              </w:rPr>
              <w:t>防止撞击。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hint="eastAsia" w:ascii="宋体" w:hAnsi="宋体" w:cs="宋体"/>
                <w:sz w:val="24"/>
              </w:rPr>
              <w:t>雨水斗安装完后要清理屋面杂物防止造成堵塞。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restart"/>
            <w:shd w:val="clear" w:color="auto" w:fill="auto"/>
            <w:vAlign w:val="center"/>
          </w:tcPr>
          <w:p>
            <w:pPr>
              <w:ind w:left="113" w:right="113"/>
              <w:jc w:val="center"/>
              <w:rPr>
                <w:rFonts w:ascii="宋体" w:hAnsi="宋体" w:cs="宋体"/>
                <w:sz w:val="28"/>
                <w:szCs w:val="28"/>
              </w:rPr>
            </w:pPr>
            <w:r>
              <w:rPr>
                <w:rFonts w:hint="eastAsia" w:ascii="宋体" w:hAnsi="宋体" w:cs="宋体"/>
                <w:b/>
                <w:kern w:val="0"/>
                <w:sz w:val="28"/>
                <w:szCs w:val="28"/>
              </w:rPr>
              <w:t>做法图示</w:t>
            </w:r>
          </w:p>
        </w:tc>
        <w:tc>
          <w:tcPr>
            <w:tcW w:w="2287" w:type="pct"/>
            <w:shd w:val="clear" w:color="auto" w:fill="auto"/>
          </w:tcPr>
          <w:p>
            <w:pPr>
              <w:spacing w:line="288" w:lineRule="auto"/>
              <w:rPr>
                <w:rFonts w:ascii="宋体" w:hAnsi="宋体" w:cs="宋体"/>
                <w:szCs w:val="21"/>
              </w:rPr>
            </w:pPr>
            <w:r>
              <w:rPr>
                <w:rFonts w:ascii="宋体" w:hAnsi="宋体" w:cs="宋体"/>
                <w:szCs w:val="21"/>
              </w:rPr>
              <w:drawing>
                <wp:inline distT="0" distB="0" distL="0" distR="0">
                  <wp:extent cx="2838450" cy="2108200"/>
                  <wp:effectExtent l="0" t="0" r="635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76716" cy="2136439"/>
                          </a:xfrm>
                          <a:prstGeom prst="rect">
                            <a:avLst/>
                          </a:prstGeom>
                          <a:noFill/>
                          <a:ln>
                            <a:noFill/>
                          </a:ln>
                        </pic:spPr>
                      </pic:pic>
                    </a:graphicData>
                  </a:graphic>
                </wp:inline>
              </w:drawing>
            </w:r>
          </w:p>
          <w:p>
            <w:pPr>
              <w:spacing w:line="288" w:lineRule="auto"/>
              <w:jc w:val="center"/>
              <w:rPr>
                <w:rFonts w:ascii="宋体" w:hAnsi="宋体" w:cs="宋体"/>
                <w:szCs w:val="21"/>
              </w:rPr>
            </w:pPr>
            <w:r>
              <w:rPr>
                <w:rFonts w:ascii="宋体" w:hAnsi="宋体" w:cs="宋体"/>
                <w:szCs w:val="21"/>
              </w:rPr>
              <w:t>预留管口</w:t>
            </w:r>
            <w:r>
              <w:rPr>
                <w:rFonts w:ascii="宋体" w:hAnsi="宋体" w:cs="宋体"/>
                <w:spacing w:val="-5"/>
                <w:szCs w:val="21"/>
              </w:rPr>
              <w:t>用</w:t>
            </w:r>
            <w:r>
              <w:rPr>
                <w:rFonts w:ascii="宋体" w:hAnsi="宋体" w:cs="宋体"/>
                <w:szCs w:val="21"/>
              </w:rPr>
              <w:t>胶带缠</w:t>
            </w:r>
            <w:r>
              <w:rPr>
                <w:rFonts w:ascii="宋体" w:hAnsi="宋体" w:cs="宋体"/>
                <w:spacing w:val="-5"/>
                <w:szCs w:val="21"/>
              </w:rPr>
              <w:t>绕</w:t>
            </w:r>
            <w:r>
              <w:rPr>
                <w:rFonts w:ascii="宋体" w:hAnsi="宋体" w:cs="宋体"/>
                <w:szCs w:val="21"/>
              </w:rPr>
              <w:t>密实</w:t>
            </w:r>
          </w:p>
        </w:tc>
        <w:tc>
          <w:tcPr>
            <w:tcW w:w="2358" w:type="pct"/>
            <w:shd w:val="clear" w:color="auto" w:fill="auto"/>
          </w:tcPr>
          <w:p>
            <w:pPr>
              <w:spacing w:line="288" w:lineRule="auto"/>
              <w:jc w:val="center"/>
            </w:pPr>
            <w:r>
              <w:drawing>
                <wp:inline distT="0" distB="0" distL="0" distR="0">
                  <wp:extent cx="2657475" cy="2108200"/>
                  <wp:effectExtent l="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6">
                            <a:extLst>
                              <a:ext uri="{28A0092B-C50C-407E-A947-70E740481C1C}">
                                <a14:useLocalDpi xmlns:a14="http://schemas.microsoft.com/office/drawing/2010/main" val="0"/>
                              </a:ext>
                            </a:extLst>
                          </a:blip>
                          <a:srcRect t="6083"/>
                          <a:stretch>
                            <a:fillRect/>
                          </a:stretch>
                        </pic:blipFill>
                        <pic:spPr>
                          <a:xfrm>
                            <a:off x="0" y="0"/>
                            <a:ext cx="2731803" cy="2166818"/>
                          </a:xfrm>
                          <a:prstGeom prst="rect">
                            <a:avLst/>
                          </a:prstGeom>
                          <a:noFill/>
                          <a:ln>
                            <a:noFill/>
                          </a:ln>
                        </pic:spPr>
                      </pic:pic>
                    </a:graphicData>
                  </a:graphic>
                </wp:inline>
              </w:drawing>
            </w:r>
          </w:p>
          <w:p>
            <w:pPr>
              <w:spacing w:line="288" w:lineRule="auto"/>
              <w:ind w:firstLine="420" w:firstLineChars="200"/>
              <w:jc w:val="center"/>
              <w:rPr>
                <w:rFonts w:ascii="宋体" w:hAnsi="宋体" w:cs="宋体"/>
                <w:szCs w:val="21"/>
              </w:rPr>
            </w:pPr>
            <w:r>
              <w:rPr>
                <w:rFonts w:hint="eastAsia"/>
              </w:rPr>
              <w:t>墙体预埋套管用胶带</w:t>
            </w:r>
            <w:r>
              <w:rPr>
                <w:rFonts w:ascii="宋体" w:hAnsi="宋体" w:cs="宋体"/>
                <w:szCs w:val="21"/>
              </w:rPr>
              <w:t>缠</w:t>
            </w:r>
            <w:r>
              <w:rPr>
                <w:rFonts w:ascii="宋体" w:hAnsi="宋体" w:cs="宋体"/>
                <w:spacing w:val="-5"/>
                <w:szCs w:val="21"/>
              </w:rPr>
              <w:t>绕</w:t>
            </w:r>
            <w:r>
              <w:rPr>
                <w:rFonts w:ascii="宋体" w:hAnsi="宋体" w:cs="宋体"/>
                <w:szCs w:val="21"/>
              </w:rPr>
              <w:t>密实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vAlign w:val="center"/>
          </w:tcPr>
          <w:p>
            <w:pPr>
              <w:ind w:left="113" w:right="113"/>
              <w:jc w:val="center"/>
              <w:rPr>
                <w:rFonts w:ascii="宋体" w:hAnsi="宋体" w:cs="宋体"/>
                <w:b/>
                <w:kern w:val="0"/>
                <w:sz w:val="28"/>
                <w:szCs w:val="28"/>
              </w:rPr>
            </w:pPr>
          </w:p>
        </w:tc>
        <w:tc>
          <w:tcPr>
            <w:tcW w:w="2287" w:type="pct"/>
            <w:shd w:val="clear" w:color="auto" w:fill="auto"/>
          </w:tcPr>
          <w:p>
            <w:pPr>
              <w:spacing w:line="288" w:lineRule="auto"/>
              <w:rPr>
                <w:rFonts w:ascii="宋体" w:hAnsi="宋体" w:cs="宋体"/>
                <w:szCs w:val="21"/>
              </w:rPr>
            </w:pPr>
          </w:p>
        </w:tc>
        <w:tc>
          <w:tcPr>
            <w:tcW w:w="2358" w:type="pct"/>
            <w:shd w:val="clear" w:color="auto" w:fill="auto"/>
          </w:tcPr>
          <w:p>
            <w:pPr>
              <w:spacing w:line="288" w:lineRule="auto"/>
              <w:jc w:val="cente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vAlign w:val="center"/>
          </w:tcPr>
          <w:p>
            <w:pPr>
              <w:ind w:left="113" w:right="113"/>
              <w:jc w:val="center"/>
              <w:rPr>
                <w:rFonts w:ascii="宋体" w:hAnsi="宋体" w:cs="宋体"/>
                <w:b/>
                <w:kern w:val="0"/>
                <w:sz w:val="37"/>
                <w:szCs w:val="21"/>
              </w:rPr>
            </w:pPr>
          </w:p>
        </w:tc>
        <w:tc>
          <w:tcPr>
            <w:tcW w:w="2287" w:type="pct"/>
            <w:shd w:val="clear" w:color="auto" w:fill="auto"/>
          </w:tcPr>
          <w:p>
            <w:pPr>
              <w:widowControl/>
              <w:jc w:val="center"/>
              <w:rPr>
                <w:rFonts w:ascii="宋体" w:hAnsi="宋体" w:cs="宋体"/>
                <w:kern w:val="0"/>
                <w:sz w:val="24"/>
              </w:rPr>
            </w:pPr>
            <w:r>
              <w:drawing>
                <wp:inline distT="0" distB="0" distL="0" distR="0">
                  <wp:extent cx="2438400" cy="2020570"/>
                  <wp:effectExtent l="0" t="0" r="0" b="1143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17">
                            <a:extLst>
                              <a:ext uri="{28A0092B-C50C-407E-A947-70E740481C1C}">
                                <a14:useLocalDpi xmlns:a14="http://schemas.microsoft.com/office/drawing/2010/main" val="0"/>
                              </a:ext>
                            </a:extLst>
                          </a:blip>
                          <a:srcRect l="11987"/>
                          <a:stretch>
                            <a:fillRect/>
                          </a:stretch>
                        </pic:blipFill>
                        <pic:spPr>
                          <a:xfrm>
                            <a:off x="0" y="0"/>
                            <a:ext cx="2462308" cy="2040942"/>
                          </a:xfrm>
                          <a:prstGeom prst="rect">
                            <a:avLst/>
                          </a:prstGeom>
                          <a:noFill/>
                          <a:ln>
                            <a:noFill/>
                          </a:ln>
                        </pic:spPr>
                      </pic:pic>
                    </a:graphicData>
                  </a:graphic>
                </wp:inline>
              </w:drawing>
            </w:r>
          </w:p>
          <w:p>
            <w:pPr>
              <w:widowControl/>
              <w:jc w:val="center"/>
              <w:rPr>
                <w:rFonts w:ascii="宋体" w:hAnsi="宋体" w:cs="宋体"/>
                <w:kern w:val="0"/>
                <w:sz w:val="24"/>
              </w:rPr>
            </w:pPr>
            <w:r>
              <w:rPr>
                <w:rFonts w:hint="eastAsia" w:ascii="宋体" w:hAnsi="宋体" w:cs="宋体"/>
                <w:kern w:val="0"/>
                <w:sz w:val="24"/>
              </w:rPr>
              <w:t>水管品口用塑料膜保护</w:t>
            </w:r>
          </w:p>
        </w:tc>
        <w:tc>
          <w:tcPr>
            <w:tcW w:w="2358" w:type="pct"/>
            <w:shd w:val="clear" w:color="auto" w:fill="auto"/>
          </w:tcPr>
          <w:p>
            <w:pPr>
              <w:widowControl/>
              <w:jc w:val="center"/>
              <w:rPr>
                <w:rFonts w:ascii="宋体" w:hAnsi="宋体" w:cs="宋体"/>
                <w:kern w:val="0"/>
                <w:sz w:val="24"/>
              </w:rPr>
            </w:pPr>
            <w:r>
              <w:drawing>
                <wp:inline distT="0" distB="0" distL="0" distR="0">
                  <wp:extent cx="2771140" cy="2014855"/>
                  <wp:effectExtent l="0" t="0" r="10160" b="444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83712" cy="2023813"/>
                          </a:xfrm>
                          <a:prstGeom prst="rect">
                            <a:avLst/>
                          </a:prstGeom>
                          <a:noFill/>
                          <a:ln>
                            <a:noFill/>
                          </a:ln>
                        </pic:spPr>
                      </pic:pic>
                    </a:graphicData>
                  </a:graphic>
                </wp:inline>
              </w:drawing>
            </w:r>
          </w:p>
          <w:p>
            <w:pPr>
              <w:widowControl/>
              <w:jc w:val="center"/>
              <w:rPr>
                <w:rFonts w:ascii="宋体" w:hAnsi="宋体" w:cs="宋体"/>
                <w:kern w:val="0"/>
                <w:sz w:val="24"/>
              </w:rPr>
            </w:pPr>
            <w:r>
              <w:rPr>
                <w:rFonts w:ascii="宋体" w:hAnsi="宋体" w:cs="宋体"/>
                <w:szCs w:val="21"/>
              </w:rPr>
              <w:t>管道用塑</w:t>
            </w:r>
            <w:r>
              <w:rPr>
                <w:rFonts w:ascii="宋体" w:hAnsi="宋体" w:cs="宋体"/>
                <w:spacing w:val="-5"/>
                <w:szCs w:val="21"/>
              </w:rPr>
              <w:t>料</w:t>
            </w:r>
            <w:r>
              <w:rPr>
                <w:rFonts w:ascii="宋体" w:hAnsi="宋体" w:cs="宋体"/>
                <w:szCs w:val="21"/>
              </w:rPr>
              <w:t>薄膜包</w:t>
            </w:r>
            <w:r>
              <w:rPr>
                <w:rFonts w:ascii="宋体" w:hAnsi="宋体" w:cs="宋体"/>
                <w:spacing w:val="-5"/>
                <w:szCs w:val="21"/>
              </w:rPr>
              <w:t>裹</w:t>
            </w:r>
            <w:r>
              <w:rPr>
                <w:rFonts w:ascii="宋体" w:hAnsi="宋体" w:cs="宋体"/>
                <w:szCs w:val="21"/>
              </w:rPr>
              <w:t>防污染</w:t>
            </w:r>
            <w:r>
              <w:rPr>
                <w:rFonts w:hint="eastAsia" w:ascii="宋体" w:hAnsi="宋体" w:cs="宋体"/>
                <w:szCs w:val="21"/>
              </w:rPr>
              <w:t>（因工序原因才做）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vAlign w:val="center"/>
          </w:tcPr>
          <w:p>
            <w:pPr>
              <w:ind w:left="113" w:right="113"/>
              <w:jc w:val="center"/>
              <w:rPr>
                <w:rFonts w:ascii="宋体" w:hAnsi="宋体" w:cs="宋体"/>
                <w:b/>
                <w:kern w:val="0"/>
                <w:sz w:val="37"/>
                <w:szCs w:val="21"/>
              </w:rPr>
            </w:pPr>
          </w:p>
        </w:tc>
        <w:tc>
          <w:tcPr>
            <w:tcW w:w="2287" w:type="pct"/>
            <w:shd w:val="clear" w:color="auto" w:fill="auto"/>
          </w:tcPr>
          <w:p>
            <w:pPr>
              <w:widowControl/>
              <w:jc w:val="center"/>
            </w:pPr>
            <w:r>
              <w:drawing>
                <wp:inline distT="0" distB="0" distL="0" distR="0">
                  <wp:extent cx="2324100" cy="227203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9"/>
                          <a:srcRect b="3423"/>
                          <a:stretch>
                            <a:fillRect/>
                          </a:stretch>
                        </pic:blipFill>
                        <pic:spPr>
                          <a:xfrm>
                            <a:off x="0" y="0"/>
                            <a:ext cx="2324100" cy="2272145"/>
                          </a:xfrm>
                          <a:prstGeom prst="rect">
                            <a:avLst/>
                          </a:prstGeom>
                          <a:ln>
                            <a:noFill/>
                          </a:ln>
                        </pic:spPr>
                      </pic:pic>
                    </a:graphicData>
                  </a:graphic>
                </wp:inline>
              </w:drawing>
            </w:r>
          </w:p>
          <w:p>
            <w:pPr>
              <w:widowControl/>
              <w:jc w:val="center"/>
            </w:pPr>
            <w:r>
              <w:rPr>
                <w:rFonts w:hint="eastAsia"/>
              </w:rPr>
              <w:t>室外消火栓用麻袋或彩条布包裹</w:t>
            </w:r>
          </w:p>
        </w:tc>
        <w:tc>
          <w:tcPr>
            <w:tcW w:w="2358" w:type="pct"/>
            <w:shd w:val="clear" w:color="auto" w:fill="auto"/>
          </w:tcPr>
          <w:p>
            <w:pPr>
              <w:widowControl/>
              <w:jc w:val="center"/>
            </w:pPr>
            <w:r>
              <w:drawing>
                <wp:inline distT="0" distB="0" distL="0" distR="0">
                  <wp:extent cx="2734945" cy="2272030"/>
                  <wp:effectExtent l="0" t="0" r="825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
                          <a:stretch>
                            <a:fillRect/>
                          </a:stretch>
                        </pic:blipFill>
                        <pic:spPr>
                          <a:xfrm>
                            <a:off x="0" y="0"/>
                            <a:ext cx="2742660" cy="2278376"/>
                          </a:xfrm>
                          <a:prstGeom prst="rect">
                            <a:avLst/>
                          </a:prstGeom>
                        </pic:spPr>
                      </pic:pic>
                    </a:graphicData>
                  </a:graphic>
                </wp:inline>
              </w:drawing>
            </w:r>
          </w:p>
          <w:p>
            <w:pPr>
              <w:widowControl/>
              <w:jc w:val="center"/>
            </w:pPr>
            <w:r>
              <w:rPr>
                <w:rFonts w:hint="eastAsia"/>
              </w:rPr>
              <w:t>喷头用塑料袋包裹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35" w:hRule="atLeast"/>
          <w:jc w:val="center"/>
        </w:trPr>
        <w:tc>
          <w:tcPr>
            <w:tcW w:w="355" w:type="pct"/>
            <w:vMerge w:val="continue"/>
            <w:shd w:val="clear" w:color="auto" w:fill="auto"/>
            <w:vAlign w:val="center"/>
          </w:tcPr>
          <w:p>
            <w:pPr>
              <w:ind w:left="113" w:right="113"/>
              <w:jc w:val="center"/>
              <w:rPr>
                <w:rFonts w:ascii="宋体" w:hAnsi="宋体" w:cs="宋体"/>
                <w:b/>
                <w:kern w:val="0"/>
                <w:sz w:val="37"/>
                <w:szCs w:val="21"/>
              </w:rPr>
            </w:pPr>
          </w:p>
        </w:tc>
        <w:tc>
          <w:tcPr>
            <w:tcW w:w="2287" w:type="pct"/>
            <w:shd w:val="clear" w:color="auto" w:fill="auto"/>
          </w:tcPr>
          <w:p>
            <w:pPr>
              <w:widowControl/>
              <w:jc w:val="left"/>
            </w:pPr>
            <w:r>
              <w:drawing>
                <wp:inline distT="0" distB="0" distL="0" distR="0">
                  <wp:extent cx="1533525" cy="1362710"/>
                  <wp:effectExtent l="0" t="0" r="3175" b="889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21"/>
                          <a:stretch>
                            <a:fillRect/>
                          </a:stretch>
                        </pic:blipFill>
                        <pic:spPr>
                          <a:xfrm>
                            <a:off x="0" y="0"/>
                            <a:ext cx="1557279" cy="1384249"/>
                          </a:xfrm>
                          <a:prstGeom prst="rect">
                            <a:avLst/>
                          </a:prstGeom>
                        </pic:spPr>
                      </pic:pic>
                    </a:graphicData>
                  </a:graphic>
                </wp:inline>
              </w:drawing>
            </w:r>
            <w:r>
              <w:drawing>
                <wp:inline distT="0" distB="0" distL="0" distR="0">
                  <wp:extent cx="1133475" cy="1358265"/>
                  <wp:effectExtent l="0" t="0" r="9525" b="63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22"/>
                          <a:stretch>
                            <a:fillRect/>
                          </a:stretch>
                        </pic:blipFill>
                        <pic:spPr>
                          <a:xfrm>
                            <a:off x="0" y="0"/>
                            <a:ext cx="1151890" cy="1380541"/>
                          </a:xfrm>
                          <a:prstGeom prst="rect">
                            <a:avLst/>
                          </a:prstGeom>
                        </pic:spPr>
                      </pic:pic>
                    </a:graphicData>
                  </a:graphic>
                </wp:inline>
              </w:drawing>
            </w:r>
          </w:p>
          <w:p>
            <w:pPr>
              <w:widowControl/>
              <w:jc w:val="center"/>
            </w:pPr>
            <w:r>
              <w:rPr>
                <w:rFonts w:hint="eastAsia"/>
              </w:rPr>
              <w:t>竖向水管管口的保护（无配套盖子）</w:t>
            </w:r>
          </w:p>
        </w:tc>
        <w:tc>
          <w:tcPr>
            <w:tcW w:w="2358" w:type="pct"/>
            <w:shd w:val="clear" w:color="auto" w:fill="auto"/>
          </w:tcPr>
          <w:p>
            <w:pPr>
              <w:widowControl/>
              <w:jc w:val="center"/>
            </w:pPr>
            <w:r>
              <w:drawing>
                <wp:inline distT="0" distB="0" distL="0" distR="0">
                  <wp:extent cx="1127760" cy="1392555"/>
                  <wp:effectExtent l="0" t="0" r="2540" b="444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23"/>
                          <a:srcRect l="52791"/>
                          <a:stretch>
                            <a:fillRect/>
                          </a:stretch>
                        </pic:blipFill>
                        <pic:spPr>
                          <a:xfrm>
                            <a:off x="0" y="0"/>
                            <a:ext cx="1135410" cy="1401513"/>
                          </a:xfrm>
                          <a:prstGeom prst="rect">
                            <a:avLst/>
                          </a:prstGeom>
                          <a:ln>
                            <a:noFill/>
                          </a:ln>
                        </pic:spPr>
                      </pic:pic>
                    </a:graphicData>
                  </a:graphic>
                </wp:inline>
              </w:drawing>
            </w:r>
            <w:r>
              <w:drawing>
                <wp:inline distT="0" distB="0" distL="0" distR="0">
                  <wp:extent cx="989965" cy="1346200"/>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4"/>
                          <a:srcRect b="4029"/>
                          <a:stretch>
                            <a:fillRect/>
                          </a:stretch>
                        </pic:blipFill>
                        <pic:spPr>
                          <a:xfrm>
                            <a:off x="0" y="0"/>
                            <a:ext cx="1007573" cy="1369500"/>
                          </a:xfrm>
                          <a:prstGeom prst="rect">
                            <a:avLst/>
                          </a:prstGeom>
                          <a:ln>
                            <a:noFill/>
                          </a:ln>
                        </pic:spPr>
                      </pic:pic>
                    </a:graphicData>
                  </a:graphic>
                </wp:inline>
              </w:drawing>
            </w:r>
          </w:p>
          <w:p>
            <w:pPr>
              <w:widowControl/>
              <w:jc w:val="center"/>
            </w:pPr>
            <w:r>
              <w:rPr>
                <w:rFonts w:hint="eastAsia"/>
              </w:rPr>
              <w:t>排水管管口用配套的盖子保护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vAlign w:val="center"/>
          </w:tcPr>
          <w:p>
            <w:pPr>
              <w:ind w:left="113" w:right="113"/>
              <w:jc w:val="center"/>
              <w:rPr>
                <w:rFonts w:ascii="宋体" w:hAnsi="宋体" w:cs="宋体"/>
                <w:b/>
                <w:kern w:val="0"/>
                <w:sz w:val="37"/>
                <w:szCs w:val="21"/>
              </w:rPr>
            </w:pPr>
          </w:p>
        </w:tc>
        <w:tc>
          <w:tcPr>
            <w:tcW w:w="2287" w:type="pct"/>
            <w:shd w:val="clear" w:color="auto" w:fill="auto"/>
          </w:tcPr>
          <w:p>
            <w:pPr>
              <w:widowControl/>
              <w:jc w:val="center"/>
            </w:pPr>
            <w:r>
              <w:drawing>
                <wp:inline distT="0" distB="0" distL="0" distR="0">
                  <wp:extent cx="2704465" cy="1800225"/>
                  <wp:effectExtent l="0" t="0" r="635" b="317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25"/>
                          <a:srcRect l="10417" r="7639"/>
                          <a:stretch>
                            <a:fillRect/>
                          </a:stretch>
                        </pic:blipFill>
                        <pic:spPr>
                          <a:xfrm>
                            <a:off x="0" y="0"/>
                            <a:ext cx="2715387" cy="1807190"/>
                          </a:xfrm>
                          <a:prstGeom prst="rect">
                            <a:avLst/>
                          </a:prstGeom>
                          <a:ln>
                            <a:noFill/>
                          </a:ln>
                        </pic:spPr>
                      </pic:pic>
                    </a:graphicData>
                  </a:graphic>
                </wp:inline>
              </w:drawing>
            </w:r>
          </w:p>
          <w:p>
            <w:pPr>
              <w:widowControl/>
              <w:jc w:val="center"/>
            </w:pPr>
            <w:r>
              <w:rPr>
                <w:rFonts w:hint="eastAsia"/>
              </w:rPr>
              <w:t>水泵装后用塑料薄膜或彩条布包裹</w:t>
            </w:r>
          </w:p>
        </w:tc>
        <w:tc>
          <w:tcPr>
            <w:tcW w:w="2358" w:type="pct"/>
            <w:shd w:val="clear" w:color="auto" w:fill="auto"/>
          </w:tcPr>
          <w:p>
            <w:pPr>
              <w:widowControl/>
              <w:jc w:val="center"/>
            </w:pPr>
            <w:r>
              <w:drawing>
                <wp:inline distT="0" distB="0" distL="0" distR="0">
                  <wp:extent cx="2009775" cy="1804035"/>
                  <wp:effectExtent l="0" t="0" r="9525" b="1206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26"/>
                          <a:stretch>
                            <a:fillRect/>
                          </a:stretch>
                        </pic:blipFill>
                        <pic:spPr>
                          <a:xfrm>
                            <a:off x="0" y="0"/>
                            <a:ext cx="2028530" cy="1820960"/>
                          </a:xfrm>
                          <a:prstGeom prst="rect">
                            <a:avLst/>
                          </a:prstGeom>
                        </pic:spPr>
                      </pic:pic>
                    </a:graphicData>
                  </a:graphic>
                </wp:inline>
              </w:drawing>
            </w:r>
          </w:p>
          <w:p>
            <w:pPr>
              <w:widowControl/>
              <w:jc w:val="center"/>
            </w:pPr>
            <w:r>
              <w:rPr>
                <w:rFonts w:hint="eastAsia"/>
              </w:rPr>
              <w:t>压力表的保护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2287" w:type="pct"/>
            <w:shd w:val="clear" w:color="auto" w:fill="auto"/>
          </w:tcPr>
          <w:p>
            <w:pPr>
              <w:spacing w:line="288" w:lineRule="auto"/>
              <w:jc w:val="center"/>
            </w:pPr>
            <w:r>
              <w:drawing>
                <wp:inline distT="0" distB="0" distL="0" distR="0">
                  <wp:extent cx="2673985" cy="2480310"/>
                  <wp:effectExtent l="0" t="0" r="571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rcRect r="6741"/>
                          <a:stretch>
                            <a:fillRect/>
                          </a:stretch>
                        </pic:blipFill>
                        <pic:spPr>
                          <a:xfrm>
                            <a:off x="0" y="0"/>
                            <a:ext cx="2694406" cy="2499276"/>
                          </a:xfrm>
                          <a:prstGeom prst="rect">
                            <a:avLst/>
                          </a:prstGeom>
                          <a:ln>
                            <a:noFill/>
                          </a:ln>
                        </pic:spPr>
                      </pic:pic>
                    </a:graphicData>
                  </a:graphic>
                </wp:inline>
              </w:drawing>
            </w:r>
          </w:p>
          <w:p>
            <w:pPr>
              <w:spacing w:line="288" w:lineRule="auto"/>
              <w:jc w:val="center"/>
              <w:rPr>
                <w:rFonts w:ascii="宋体" w:hAnsi="宋体" w:cs="宋体"/>
                <w:szCs w:val="21"/>
              </w:rPr>
            </w:pPr>
            <w:r>
              <w:rPr>
                <w:rFonts w:hint="eastAsia" w:ascii="宋体" w:hAnsi="宋体" w:cs="宋体"/>
                <w:szCs w:val="21"/>
              </w:rPr>
              <w:t>马桶的原包装保护</w:t>
            </w:r>
          </w:p>
        </w:tc>
        <w:tc>
          <w:tcPr>
            <w:tcW w:w="2358" w:type="pct"/>
            <w:shd w:val="clear" w:color="auto" w:fill="auto"/>
          </w:tcPr>
          <w:p>
            <w:pPr>
              <w:spacing w:line="288" w:lineRule="auto"/>
              <w:jc w:val="center"/>
            </w:pPr>
            <w:r>
              <w:drawing>
                <wp:inline distT="0" distB="0" distL="0" distR="0">
                  <wp:extent cx="2658110" cy="2468245"/>
                  <wp:effectExtent l="0" t="0" r="8890"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28"/>
                          <a:stretch>
                            <a:fillRect/>
                          </a:stretch>
                        </pic:blipFill>
                        <pic:spPr>
                          <a:xfrm>
                            <a:off x="0" y="0"/>
                            <a:ext cx="2676093" cy="2484679"/>
                          </a:xfrm>
                          <a:prstGeom prst="rect">
                            <a:avLst/>
                          </a:prstGeom>
                        </pic:spPr>
                      </pic:pic>
                    </a:graphicData>
                  </a:graphic>
                </wp:inline>
              </w:drawing>
            </w:r>
          </w:p>
          <w:p>
            <w:pPr>
              <w:spacing w:line="288" w:lineRule="auto"/>
              <w:jc w:val="center"/>
            </w:pPr>
            <w:r>
              <w:rPr>
                <w:rFonts w:hint="eastAsia"/>
              </w:rPr>
              <w:t>蹲便器的保护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2287" w:type="pct"/>
            <w:shd w:val="clear" w:color="auto" w:fill="auto"/>
          </w:tcPr>
          <w:p>
            <w:pPr>
              <w:widowControl/>
              <w:jc w:val="center"/>
              <w:rPr>
                <w:rFonts w:ascii="宋体" w:hAnsi="宋体" w:cs="宋体"/>
                <w:kern w:val="0"/>
                <w:sz w:val="24"/>
              </w:rPr>
            </w:pPr>
            <w:r>
              <w:drawing>
                <wp:inline distT="0" distB="0" distL="0" distR="0">
                  <wp:extent cx="2243455" cy="2085340"/>
                  <wp:effectExtent l="0" t="0" r="4445" b="1016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29"/>
                          <a:stretch>
                            <a:fillRect/>
                          </a:stretch>
                        </pic:blipFill>
                        <pic:spPr>
                          <a:xfrm>
                            <a:off x="0" y="0"/>
                            <a:ext cx="2267738" cy="2107571"/>
                          </a:xfrm>
                          <a:prstGeom prst="rect">
                            <a:avLst/>
                          </a:prstGeom>
                        </pic:spPr>
                      </pic:pic>
                    </a:graphicData>
                  </a:graphic>
                </wp:inline>
              </w:drawing>
            </w:r>
          </w:p>
          <w:p>
            <w:pPr>
              <w:widowControl/>
              <w:jc w:val="center"/>
              <w:rPr>
                <w:rFonts w:ascii="宋体" w:hAnsi="宋体" w:cs="宋体"/>
                <w:kern w:val="0"/>
                <w:szCs w:val="21"/>
              </w:rPr>
            </w:pPr>
            <w:r>
              <w:rPr>
                <w:rFonts w:hint="eastAsia" w:ascii="宋体" w:hAnsi="宋体" w:cs="宋体"/>
                <w:kern w:val="0"/>
                <w:szCs w:val="21"/>
              </w:rPr>
              <w:t>水处理器设备用包装箱或彩条或包裹</w:t>
            </w:r>
          </w:p>
        </w:tc>
        <w:tc>
          <w:tcPr>
            <w:tcW w:w="2358" w:type="pct"/>
            <w:shd w:val="clear" w:color="auto" w:fill="auto"/>
          </w:tcPr>
          <w:p>
            <w:pPr>
              <w:spacing w:line="288" w:lineRule="auto"/>
              <w:jc w:val="center"/>
              <w:rPr>
                <w:rFonts w:ascii="宋体" w:hAnsi="宋体" w:cs="宋体"/>
                <w:szCs w:val="21"/>
              </w:rPr>
            </w:pPr>
            <w:r>
              <w:drawing>
                <wp:inline distT="0" distB="0" distL="0" distR="0">
                  <wp:extent cx="1329055" cy="2056130"/>
                  <wp:effectExtent l="0" t="0" r="4445" b="127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0"/>
                          <a:srcRect l="14733" t="7591" r="9375" b="5611"/>
                          <a:stretch>
                            <a:fillRect/>
                          </a:stretch>
                        </pic:blipFill>
                        <pic:spPr>
                          <a:xfrm>
                            <a:off x="0" y="0"/>
                            <a:ext cx="1338116" cy="2070147"/>
                          </a:xfrm>
                          <a:prstGeom prst="rect">
                            <a:avLst/>
                          </a:prstGeom>
                          <a:ln>
                            <a:noFill/>
                          </a:ln>
                        </pic:spPr>
                      </pic:pic>
                    </a:graphicData>
                  </a:graphic>
                </wp:inline>
              </w:drawing>
            </w:r>
          </w:p>
          <w:p>
            <w:pPr>
              <w:spacing w:line="288" w:lineRule="auto"/>
              <w:jc w:val="center"/>
              <w:rPr>
                <w:rFonts w:ascii="宋体" w:hAnsi="宋体" w:cs="宋体"/>
                <w:szCs w:val="21"/>
              </w:rPr>
            </w:pPr>
            <w:r>
              <w:rPr>
                <w:rFonts w:hint="eastAsia" w:ascii="宋体" w:hAnsi="宋体" w:cs="宋体"/>
                <w:szCs w:val="21"/>
              </w:rPr>
              <w:t>水龙头原包装或覆膜保护</w:t>
            </w:r>
          </w:p>
        </w:tc>
      </w:tr>
    </w:tbl>
    <w:p/>
    <w:p>
      <w:pPr>
        <w:pStyle w:val="8"/>
        <w:numPr>
          <w:ilvl w:val="1"/>
          <w:numId w:val="1"/>
        </w:numPr>
        <w:spacing w:line="360" w:lineRule="auto"/>
        <w:ind w:left="0" w:firstLine="0" w:firstLineChars="0"/>
        <w:outlineLvl w:val="1"/>
      </w:pPr>
      <w:bookmarkStart w:id="17" w:name="_Toc36223797"/>
      <w:r>
        <w:rPr>
          <w:rFonts w:hint="eastAsia" w:ascii="宋体" w:hAnsi="宋体"/>
          <w:sz w:val="24"/>
        </w:rPr>
        <w:t>暖通空调工程</w:t>
      </w:r>
      <w:bookmarkEnd w:id="17"/>
    </w:p>
    <w:tbl>
      <w:tblPr>
        <w:tblStyle w:val="6"/>
        <w:tblW w:w="530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21"/>
        <w:gridCol w:w="4645"/>
        <w:gridCol w:w="47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restart"/>
            <w:shd w:val="clear" w:color="auto" w:fill="auto"/>
            <w:vAlign w:val="center"/>
          </w:tcPr>
          <w:p>
            <w:pPr>
              <w:spacing w:line="288" w:lineRule="auto"/>
              <w:jc w:val="center"/>
              <w:rPr>
                <w:rFonts w:ascii="宋体" w:hAnsi="宋体" w:cs="宋体"/>
                <w:sz w:val="28"/>
                <w:szCs w:val="28"/>
              </w:rPr>
            </w:pPr>
            <w:r>
              <w:rPr>
                <w:rFonts w:hint="eastAsia" w:ascii="宋体" w:hAnsi="宋体" w:cs="宋体"/>
                <w:b/>
                <w:kern w:val="0"/>
                <w:sz w:val="28"/>
                <w:szCs w:val="28"/>
              </w:rPr>
              <w:t>保护措施</w:t>
            </w:r>
          </w:p>
        </w:tc>
        <w:tc>
          <w:tcPr>
            <w:tcW w:w="4645" w:type="pct"/>
            <w:gridSpan w:val="2"/>
            <w:shd w:val="clear" w:color="auto" w:fill="auto"/>
          </w:tcPr>
          <w:p>
            <w:pPr>
              <w:spacing w:line="324" w:lineRule="auto"/>
              <w:rPr>
                <w:rFonts w:ascii="宋体" w:hAnsi="宋体" w:cs="宋体"/>
                <w:sz w:val="24"/>
              </w:rPr>
            </w:pPr>
            <w:r>
              <w:rPr>
                <w:rFonts w:ascii="宋体" w:hAnsi="宋体" w:cs="宋体"/>
                <w:sz w:val="24"/>
              </w:rPr>
              <w:t>施工完成的风口及时用塑料薄膜</w:t>
            </w:r>
            <w:r>
              <w:rPr>
                <w:rFonts w:hint="eastAsia" w:ascii="宋体" w:hAnsi="宋体" w:cs="宋体"/>
                <w:sz w:val="24"/>
              </w:rPr>
              <w:t>或彩条布</w:t>
            </w:r>
            <w:r>
              <w:rPr>
                <w:rFonts w:ascii="宋体" w:hAnsi="宋体" w:cs="宋体"/>
                <w:sz w:val="24"/>
              </w:rPr>
              <w:t>进行包裹。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空调设备要用包装箱</w:t>
            </w:r>
            <w:r>
              <w:rPr>
                <w:rFonts w:hint="eastAsia" w:ascii="宋体" w:hAnsi="宋体" w:cs="宋体"/>
                <w:sz w:val="24"/>
              </w:rPr>
              <w:t>或彩条布</w:t>
            </w:r>
            <w:r>
              <w:rPr>
                <w:rFonts w:ascii="宋体" w:hAnsi="宋体" w:cs="宋体"/>
                <w:sz w:val="24"/>
              </w:rPr>
              <w:t>包起来，加强保护，防止损坏、污染。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安装完的风管要保证风管表面光滑洁净，室外风管应有防雨措施。暂停施工的系统风管，应将风管开口处封闭，防止杂物进入。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风管伸入结构风道时，其末端应安装上钢板网，以防止系统运行时杂物进入金属风管内。金属风管与结构风道缝隙应封堵严密。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4645" w:type="pct"/>
            <w:gridSpan w:val="2"/>
            <w:shd w:val="clear" w:color="auto" w:fill="auto"/>
          </w:tcPr>
          <w:p>
            <w:pPr>
              <w:spacing w:line="324" w:lineRule="auto"/>
              <w:rPr>
                <w:rFonts w:ascii="宋体" w:hAnsi="宋体" w:cs="宋体"/>
                <w:sz w:val="24"/>
              </w:rPr>
            </w:pPr>
            <w:r>
              <w:rPr>
                <w:rFonts w:ascii="宋体" w:hAnsi="宋体" w:cs="宋体"/>
                <w:sz w:val="24"/>
              </w:rPr>
              <w:t>设备层内交叉作业较多的场地，严禁以安装完的风管作为支、托架，不允许将其他支吊架焊在或挂在风管法兰和风管支、吊架上。</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restart"/>
            <w:shd w:val="clear" w:color="auto" w:fill="auto"/>
          </w:tcPr>
          <w:p>
            <w:pPr>
              <w:spacing w:line="288" w:lineRule="auto"/>
              <w:ind w:firstLine="562" w:firstLineChars="200"/>
              <w:jc w:val="center"/>
              <w:rPr>
                <w:rFonts w:ascii="宋体" w:hAnsi="宋体" w:cs="宋体"/>
                <w:sz w:val="28"/>
                <w:szCs w:val="28"/>
              </w:rPr>
            </w:pPr>
            <w:r>
              <w:rPr>
                <w:rFonts w:hint="eastAsia" w:ascii="宋体" w:hAnsi="宋体" w:cs="宋体"/>
                <w:b/>
                <w:kern w:val="0"/>
                <w:sz w:val="28"/>
                <w:szCs w:val="28"/>
              </w:rPr>
              <w:t>标做法图示</w:t>
            </w:r>
          </w:p>
        </w:tc>
        <w:tc>
          <w:tcPr>
            <w:tcW w:w="2287" w:type="pct"/>
            <w:shd w:val="clear" w:color="auto" w:fill="auto"/>
          </w:tcPr>
          <w:p>
            <w:pPr>
              <w:spacing w:line="288" w:lineRule="auto"/>
              <w:jc w:val="center"/>
            </w:pPr>
            <w:r>
              <w:drawing>
                <wp:inline distT="0" distB="0" distL="0" distR="0">
                  <wp:extent cx="2581910" cy="2118995"/>
                  <wp:effectExtent l="0" t="0" r="8890" b="190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618958" cy="2149269"/>
                          </a:xfrm>
                          <a:prstGeom prst="rect">
                            <a:avLst/>
                          </a:prstGeom>
                          <a:noFill/>
                          <a:ln>
                            <a:noFill/>
                          </a:ln>
                        </pic:spPr>
                      </pic:pic>
                    </a:graphicData>
                  </a:graphic>
                </wp:inline>
              </w:drawing>
            </w:r>
          </w:p>
          <w:p>
            <w:pPr>
              <w:spacing w:line="288" w:lineRule="auto"/>
              <w:jc w:val="center"/>
              <w:rPr>
                <w:rFonts w:ascii="宋体" w:hAnsi="宋体" w:cs="宋体"/>
                <w:szCs w:val="21"/>
              </w:rPr>
            </w:pPr>
            <w:r>
              <w:rPr>
                <w:rFonts w:ascii="宋体" w:hAnsi="宋体" w:cs="宋体"/>
                <w:szCs w:val="21"/>
              </w:rPr>
              <w:t>保温安装</w:t>
            </w:r>
            <w:r>
              <w:rPr>
                <w:rFonts w:ascii="宋体" w:hAnsi="宋体" w:cs="宋体"/>
                <w:spacing w:val="-5"/>
                <w:szCs w:val="21"/>
              </w:rPr>
              <w:t>用</w:t>
            </w:r>
            <w:r>
              <w:rPr>
                <w:rFonts w:ascii="宋体" w:hAnsi="宋体" w:cs="宋体"/>
                <w:szCs w:val="21"/>
              </w:rPr>
              <w:t>塑料薄</w:t>
            </w:r>
            <w:r>
              <w:rPr>
                <w:rFonts w:ascii="宋体" w:hAnsi="宋体" w:cs="宋体"/>
                <w:spacing w:val="-5"/>
                <w:szCs w:val="21"/>
              </w:rPr>
              <w:t>膜</w:t>
            </w:r>
            <w:r>
              <w:rPr>
                <w:rFonts w:ascii="宋体" w:hAnsi="宋体" w:cs="宋体"/>
                <w:szCs w:val="21"/>
              </w:rPr>
              <w:t>包裹保护</w:t>
            </w:r>
            <w:r>
              <w:rPr>
                <w:rFonts w:hint="eastAsia" w:ascii="宋体" w:hAnsi="宋体" w:cs="宋体"/>
                <w:szCs w:val="21"/>
              </w:rPr>
              <w:t>（因工序原因才做）</w:t>
            </w:r>
          </w:p>
        </w:tc>
        <w:tc>
          <w:tcPr>
            <w:tcW w:w="2358" w:type="pct"/>
            <w:shd w:val="clear" w:color="auto" w:fill="auto"/>
          </w:tcPr>
          <w:p>
            <w:pPr>
              <w:spacing w:line="288" w:lineRule="auto"/>
              <w:jc w:val="center"/>
            </w:pPr>
            <w:r>
              <w:drawing>
                <wp:inline distT="0" distB="0" distL="0" distR="0">
                  <wp:extent cx="2454910" cy="2110740"/>
                  <wp:effectExtent l="0" t="0" r="8890" b="10160"/>
                  <wp:docPr id="49" name="图片 49" descr="说明: 4-2-1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说明: 4-2-1 1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471781" cy="2125230"/>
                          </a:xfrm>
                          <a:prstGeom prst="rect">
                            <a:avLst/>
                          </a:prstGeom>
                          <a:noFill/>
                          <a:ln>
                            <a:noFill/>
                          </a:ln>
                        </pic:spPr>
                      </pic:pic>
                    </a:graphicData>
                  </a:graphic>
                </wp:inline>
              </w:drawing>
            </w:r>
          </w:p>
          <w:p>
            <w:pPr>
              <w:spacing w:line="288" w:lineRule="auto"/>
              <w:jc w:val="center"/>
              <w:rPr>
                <w:rFonts w:ascii="宋体" w:hAnsi="宋体" w:cs="宋体"/>
                <w:szCs w:val="21"/>
              </w:rPr>
            </w:pPr>
            <w:r>
              <w:rPr>
                <w:rFonts w:hint="eastAsia" w:ascii="宋体" w:hAnsi="宋体" w:cs="宋体"/>
                <w:szCs w:val="21"/>
              </w:rPr>
              <w:t>风机盘管保护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743" w:firstLineChars="200"/>
              <w:jc w:val="center"/>
              <w:rPr>
                <w:rFonts w:ascii="宋体" w:hAnsi="宋体" w:cs="宋体"/>
                <w:b/>
                <w:kern w:val="0"/>
                <w:sz w:val="37"/>
                <w:szCs w:val="21"/>
              </w:rPr>
            </w:pPr>
          </w:p>
        </w:tc>
        <w:tc>
          <w:tcPr>
            <w:tcW w:w="2287" w:type="pct"/>
            <w:shd w:val="clear" w:color="auto" w:fill="auto"/>
          </w:tcPr>
          <w:p>
            <w:pPr>
              <w:spacing w:line="288" w:lineRule="auto"/>
              <w:jc w:val="center"/>
            </w:pPr>
            <w:r>
              <w:drawing>
                <wp:inline distT="0" distB="0" distL="0" distR="0">
                  <wp:extent cx="2808605" cy="1924050"/>
                  <wp:effectExtent l="0" t="0" r="10795" b="635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33"/>
                          <a:srcRect l="4861" r="5208"/>
                          <a:stretch>
                            <a:fillRect/>
                          </a:stretch>
                        </pic:blipFill>
                        <pic:spPr>
                          <a:xfrm>
                            <a:off x="0" y="0"/>
                            <a:ext cx="2810963" cy="1925346"/>
                          </a:xfrm>
                          <a:prstGeom prst="rect">
                            <a:avLst/>
                          </a:prstGeom>
                          <a:ln>
                            <a:noFill/>
                          </a:ln>
                        </pic:spPr>
                      </pic:pic>
                    </a:graphicData>
                  </a:graphic>
                </wp:inline>
              </w:drawing>
            </w:r>
          </w:p>
          <w:p>
            <w:pPr>
              <w:spacing w:line="288" w:lineRule="auto"/>
              <w:jc w:val="center"/>
            </w:pPr>
            <w:r>
              <w:rPr>
                <w:rFonts w:hint="eastAsia"/>
              </w:rPr>
              <w:t>冷水机组用防水布、包装箱或彩条布保护</w:t>
            </w:r>
          </w:p>
        </w:tc>
        <w:tc>
          <w:tcPr>
            <w:tcW w:w="2358" w:type="pct"/>
            <w:shd w:val="clear" w:color="auto" w:fill="auto"/>
          </w:tcPr>
          <w:p>
            <w:pPr>
              <w:spacing w:line="288" w:lineRule="auto"/>
              <w:jc w:val="center"/>
            </w:pPr>
            <w:r>
              <w:drawing>
                <wp:inline distT="0" distB="0" distL="0" distR="0">
                  <wp:extent cx="1811655" cy="1934210"/>
                  <wp:effectExtent l="0" t="0" r="444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4"/>
                          <a:stretch>
                            <a:fillRect/>
                          </a:stretch>
                        </pic:blipFill>
                        <pic:spPr>
                          <a:xfrm>
                            <a:off x="0" y="0"/>
                            <a:ext cx="1836932" cy="1961520"/>
                          </a:xfrm>
                          <a:prstGeom prst="rect">
                            <a:avLst/>
                          </a:prstGeom>
                        </pic:spPr>
                      </pic:pic>
                    </a:graphicData>
                  </a:graphic>
                </wp:inline>
              </w:drawing>
            </w:r>
          </w:p>
          <w:p>
            <w:pPr>
              <w:widowControl/>
              <w:jc w:val="center"/>
              <w:rPr>
                <w:rFonts w:ascii="宋体" w:hAnsi="宋体" w:cs="宋体"/>
                <w:szCs w:val="21"/>
              </w:rPr>
            </w:pPr>
            <w:r>
              <w:rPr>
                <w:rFonts w:hint="eastAsia"/>
              </w:rPr>
              <w:t>风柜用彩条布包裹并贴上警示标识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55" w:type="pct"/>
            <w:vMerge w:val="continue"/>
            <w:shd w:val="clear" w:color="auto" w:fill="auto"/>
          </w:tcPr>
          <w:p>
            <w:pPr>
              <w:spacing w:line="288" w:lineRule="auto"/>
              <w:ind w:firstLine="420" w:firstLineChars="200"/>
              <w:rPr>
                <w:rFonts w:ascii="宋体" w:hAnsi="宋体" w:cs="宋体"/>
                <w:szCs w:val="21"/>
              </w:rPr>
            </w:pPr>
          </w:p>
        </w:tc>
        <w:tc>
          <w:tcPr>
            <w:tcW w:w="2287" w:type="pct"/>
            <w:shd w:val="clear" w:color="auto" w:fill="auto"/>
          </w:tcPr>
          <w:p>
            <w:pPr>
              <w:spacing w:line="288" w:lineRule="auto"/>
              <w:jc w:val="center"/>
            </w:pPr>
            <w:r>
              <w:drawing>
                <wp:inline distT="0" distB="0" distL="0" distR="0">
                  <wp:extent cx="1202055" cy="1061085"/>
                  <wp:effectExtent l="0" t="0" r="4445" b="571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226912" cy="1083054"/>
                          </a:xfrm>
                          <a:prstGeom prst="rect">
                            <a:avLst/>
                          </a:prstGeom>
                          <a:noFill/>
                          <a:ln>
                            <a:noFill/>
                          </a:ln>
                        </pic:spPr>
                      </pic:pic>
                    </a:graphicData>
                  </a:graphic>
                </wp:inline>
              </w:drawing>
            </w:r>
            <w:r>
              <w:drawing>
                <wp:inline distT="0" distB="0" distL="0" distR="0">
                  <wp:extent cx="1337310" cy="1058545"/>
                  <wp:effectExtent l="0" t="0" r="8890" b="825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36"/>
                          <a:srcRect l="13830" r="6869"/>
                          <a:stretch>
                            <a:fillRect/>
                          </a:stretch>
                        </pic:blipFill>
                        <pic:spPr>
                          <a:xfrm>
                            <a:off x="0" y="0"/>
                            <a:ext cx="1369679" cy="1083903"/>
                          </a:xfrm>
                          <a:prstGeom prst="rect">
                            <a:avLst/>
                          </a:prstGeom>
                          <a:ln>
                            <a:noFill/>
                          </a:ln>
                        </pic:spPr>
                      </pic:pic>
                    </a:graphicData>
                  </a:graphic>
                </wp:inline>
              </w:drawing>
            </w:r>
          </w:p>
          <w:p>
            <w:pPr>
              <w:spacing w:line="288" w:lineRule="auto"/>
              <w:jc w:val="center"/>
              <w:rPr>
                <w:rFonts w:ascii="宋体" w:hAnsi="宋体" w:cs="宋体"/>
                <w:szCs w:val="21"/>
              </w:rPr>
            </w:pPr>
            <w:r>
              <w:rPr>
                <w:rFonts w:ascii="宋体" w:hAnsi="宋体" w:cs="宋体"/>
                <w:szCs w:val="21"/>
              </w:rPr>
              <w:t>风管</w:t>
            </w:r>
            <w:r>
              <w:rPr>
                <w:rFonts w:hint="eastAsia" w:ascii="宋体" w:hAnsi="宋体" w:cs="宋体"/>
                <w:szCs w:val="21"/>
              </w:rPr>
              <w:t>管</w:t>
            </w:r>
            <w:r>
              <w:rPr>
                <w:rFonts w:ascii="宋体" w:hAnsi="宋体" w:cs="宋体"/>
                <w:szCs w:val="21"/>
              </w:rPr>
              <w:t>道</w:t>
            </w:r>
            <w:r>
              <w:rPr>
                <w:rFonts w:hint="eastAsia" w:ascii="宋体" w:hAnsi="宋体" w:cs="宋体"/>
                <w:szCs w:val="21"/>
              </w:rPr>
              <w:t>口用彩条布或塑料膜</w:t>
            </w:r>
            <w:r>
              <w:rPr>
                <w:rFonts w:ascii="宋体" w:hAnsi="宋体" w:cs="宋体"/>
                <w:szCs w:val="21"/>
              </w:rPr>
              <w:t>保护</w:t>
            </w:r>
          </w:p>
        </w:tc>
        <w:tc>
          <w:tcPr>
            <w:tcW w:w="2358" w:type="pct"/>
            <w:shd w:val="clear" w:color="auto" w:fill="auto"/>
          </w:tcPr>
          <w:p>
            <w:pPr>
              <w:widowControl/>
              <w:rPr>
                <w:rFonts w:ascii="宋体" w:hAnsi="宋体" w:cs="宋体"/>
                <w:kern w:val="0"/>
                <w:sz w:val="24"/>
              </w:rPr>
            </w:pPr>
            <w:r>
              <w:rPr>
                <w:rFonts w:ascii="宋体" w:hAnsi="宋体" w:cs="宋体"/>
                <w:kern w:val="0"/>
                <w:sz w:val="24"/>
              </w:rPr>
              <w:drawing>
                <wp:inline distT="0" distB="0" distL="0" distR="0">
                  <wp:extent cx="1393190" cy="1051560"/>
                  <wp:effectExtent l="0" t="0" r="3810" b="2540"/>
                  <wp:docPr id="46" name="图片 46" descr="DSC0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SC01796"/>
                          <pic:cNvPicPr>
                            <a:picLocks noChangeAspect="1" noChangeArrowheads="1"/>
                          </pic:cNvPicPr>
                        </pic:nvPicPr>
                        <pic:blipFill>
                          <a:blip r:embed="rId37" cstate="print">
                            <a:extLst>
                              <a:ext uri="{28A0092B-C50C-407E-A947-70E740481C1C}">
                                <a14:useLocalDpi xmlns:a14="http://schemas.microsoft.com/office/drawing/2010/main" val="0"/>
                              </a:ext>
                            </a:extLst>
                          </a:blip>
                          <a:srcRect r="11338" b="24725"/>
                          <a:stretch>
                            <a:fillRect/>
                          </a:stretch>
                        </pic:blipFill>
                        <pic:spPr>
                          <a:xfrm>
                            <a:off x="0" y="0"/>
                            <a:ext cx="1429121" cy="1078519"/>
                          </a:xfrm>
                          <a:prstGeom prst="rect">
                            <a:avLst/>
                          </a:prstGeom>
                          <a:noFill/>
                          <a:ln>
                            <a:noFill/>
                          </a:ln>
                        </pic:spPr>
                      </pic:pic>
                    </a:graphicData>
                  </a:graphic>
                </wp:inline>
              </w:drawing>
            </w:r>
            <w:r>
              <w:drawing>
                <wp:inline distT="0" distB="0" distL="0" distR="0">
                  <wp:extent cx="1464310" cy="1059815"/>
                  <wp:effectExtent l="0" t="0" r="8890" b="698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38"/>
                          <a:srcRect l="-348" t="-421" r="15608" b="5062"/>
                          <a:stretch>
                            <a:fillRect/>
                          </a:stretch>
                        </pic:blipFill>
                        <pic:spPr>
                          <a:xfrm>
                            <a:off x="0" y="0"/>
                            <a:ext cx="1512368" cy="1094538"/>
                          </a:xfrm>
                          <a:prstGeom prst="rect">
                            <a:avLst/>
                          </a:prstGeom>
                          <a:ln>
                            <a:noFill/>
                          </a:ln>
                        </pic:spPr>
                      </pic:pic>
                    </a:graphicData>
                  </a:graphic>
                </wp:inline>
              </w:drawing>
            </w:r>
          </w:p>
          <w:p>
            <w:pPr>
              <w:widowControl/>
              <w:jc w:val="center"/>
              <w:rPr>
                <w:rFonts w:ascii="宋体" w:hAnsi="宋体" w:cs="宋体"/>
                <w:kern w:val="0"/>
                <w:sz w:val="24"/>
              </w:rPr>
            </w:pPr>
            <w:r>
              <w:rPr>
                <w:rFonts w:hint="eastAsia"/>
              </w:rPr>
              <w:t>安装完成的风口保护</w:t>
            </w:r>
          </w:p>
        </w:tc>
      </w:tr>
      <w:bookmarkEnd w:id="13"/>
      <w:bookmarkEnd w:id="14"/>
      <w:bookmarkEnd w:id="15"/>
    </w:tbl>
    <w:p>
      <w:pPr>
        <w:pStyle w:val="8"/>
        <w:spacing w:line="360" w:lineRule="auto"/>
        <w:ind w:left="425" w:firstLine="0" w:firstLineChars="0"/>
        <w:rPr>
          <w:rFonts w:ascii="宋体" w:hAnsi="宋体"/>
          <w:sz w:val="24"/>
        </w:rPr>
      </w:pPr>
    </w:p>
    <w:p/>
    <w:sectPr>
      <w:headerReference r:id="rId3" w:type="default"/>
      <w:footerReference r:id="rId4" w:type="default"/>
      <w:pgSz w:w="11906" w:h="16838"/>
      <w:pgMar w:top="1361" w:right="1134" w:bottom="1134" w:left="1134" w:header="567" w:footer="567" w:gutter="284"/>
      <w:cols w:space="425" w:num="1"/>
      <w:titlePg/>
      <w:docGrid w:linePitch="380" w:charSpace="-573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57522642"/>
      <w:docPartObj>
        <w:docPartGallery w:val="autotext"/>
      </w:docPartObj>
    </w:sdtPr>
    <w:sdtContent>
      <w:sdt>
        <w:sdtPr>
          <w:id w:val="1728636285"/>
          <w:docPartObj>
            <w:docPartGallery w:val="autotext"/>
          </w:docPartObj>
        </w:sdtPr>
        <w:sdtContent>
          <w:p>
            <w:pPr>
              <w:pStyle w:val="3"/>
              <w:jc w:val="center"/>
            </w:pP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8</w:t>
            </w:r>
            <w:r>
              <w:rPr>
                <w:b/>
                <w:bCs/>
                <w:sz w:val="24"/>
                <w:szCs w:val="24"/>
              </w:rPr>
              <w:fldChar w:fldCharType="end"/>
            </w:r>
          </w:p>
        </w:sdtContent>
      </w:sdt>
    </w:sdtContent>
  </w:sdt>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BE10D85"/>
    <w:multiLevelType w:val="multilevel"/>
    <w:tmpl w:val="5BE10D85"/>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YxZjk4ZjVlZjdlMDhhZjczMTI5NTlhYjIyZWFmNzQifQ=="/>
  </w:docVars>
  <w:rsids>
    <w:rsidRoot w:val="14E13CC9"/>
    <w:rsid w:val="14E13CC9"/>
    <w:rsid w:val="17CB07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character" w:default="1" w:styleId="7">
    <w:name w:val="Default Paragraph Font"/>
    <w:semiHidden/>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footer"/>
    <w:basedOn w:val="1"/>
    <w:uiPriority w:val="99"/>
    <w:pPr>
      <w:tabs>
        <w:tab w:val="center" w:pos="4153"/>
        <w:tab w:val="right" w:pos="8306"/>
      </w:tabs>
      <w:snapToGrid w:val="0"/>
      <w:jc w:val="left"/>
    </w:pPr>
    <w:rPr>
      <w:sz w:val="18"/>
      <w:szCs w:val="18"/>
    </w:rPr>
  </w:style>
  <w:style w:type="paragraph" w:styleId="4">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5">
    <w:name w:val="toc 1"/>
    <w:basedOn w:val="1"/>
    <w:next w:val="1"/>
    <w:unhideWhenUsed/>
    <w:qFormat/>
    <w:uiPriority w:val="39"/>
    <w:pPr>
      <w:tabs>
        <w:tab w:val="left" w:pos="420"/>
        <w:tab w:val="right" w:leader="dot" w:pos="9344"/>
      </w:tabs>
      <w:snapToGrid w:val="0"/>
      <w:spacing w:line="360" w:lineRule="auto"/>
    </w:pPr>
  </w:style>
  <w:style w:type="paragraph" w:styleId="8">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jpeg"/><Relationship Id="rId7" Type="http://schemas.openxmlformats.org/officeDocument/2006/relationships/image" Target="../../think/AppData/Roaming/Tencent/Users/360431577/QQ/WinTemp/RichOle/@%252525FCSUSKJ77F5%25257b%2525257$HJ9)6W.jpg" TargetMode="External"/><Relationship Id="rId6" Type="http://schemas.openxmlformats.org/officeDocument/2006/relationships/image" Target="media/image1.jpeg"/><Relationship Id="rId5" Type="http://schemas.openxmlformats.org/officeDocument/2006/relationships/theme" Target="theme/theme1.xml"/><Relationship Id="rId40" Type="http://schemas.openxmlformats.org/officeDocument/2006/relationships/fontTable" Target="fontTable.xml"/><Relationship Id="rId4" Type="http://schemas.openxmlformats.org/officeDocument/2006/relationships/footer" Target="footer1.xml"/><Relationship Id="rId39" Type="http://schemas.openxmlformats.org/officeDocument/2006/relationships/numbering" Target="numbering.xml"/><Relationship Id="rId38" Type="http://schemas.openxmlformats.org/officeDocument/2006/relationships/image" Target="media/image32.png"/><Relationship Id="rId37" Type="http://schemas.openxmlformats.org/officeDocument/2006/relationships/image" Target="media/image31.jpeg"/><Relationship Id="rId36" Type="http://schemas.openxmlformats.org/officeDocument/2006/relationships/image" Target="media/image30.png"/><Relationship Id="rId35" Type="http://schemas.openxmlformats.org/officeDocument/2006/relationships/image" Target="media/image29.jpe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jpeg"/><Relationship Id="rId31" Type="http://schemas.openxmlformats.org/officeDocument/2006/relationships/image" Target="media/image25.jpe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3134</Words>
  <Characters>3149</Characters>
  <Lines>0</Lines>
  <Paragraphs>0</Paragraphs>
  <TotalTime>2</TotalTime>
  <ScaleCrop>false</ScaleCrop>
  <LinksUpToDate>false</LinksUpToDate>
  <CharactersWithSpaces>3149</CharactersWithSpaces>
  <Application>WPS Office_11.1.0.11875_F1E327BC-269C-435d-A152-05C5408002CA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2022-07-23T07:07:00Z</dcterms:created>
  <dc:creator>....   .</dc:creator>
  <cp:lastModifiedBy>....   .</cp:lastModifiedBy>
  <dcterms:modified xsi:type="dcterms:W3CDTF">2022-07-23T07:09:31Z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2052-11.1.0.11875</vt:lpwstr>
  </property>
  <property fmtid="{D5CDD505-2E9C-101B-9397-08002B2CF9AE}" pid="3" name="ICV">
    <vt:lpwstr>540BE4A3C10B4DD9A80C693DB1F96424</vt:lpwstr>
  </property>
</Properties>
</file>